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C4B17">
      <w:pPr>
        <w:pStyle w:val="2"/>
        <w:numPr>
          <w:ilvl w:val="0"/>
          <w:numId w:val="1"/>
        </w:numPr>
        <w:suppressAutoHyphens/>
        <w:ind w:left="0" w:firstLine="0"/>
      </w:pPr>
    </w:p>
    <w:p w14:paraId="3EA61A5F">
      <w:pPr>
        <w:pStyle w:val="2"/>
        <w:numPr>
          <w:ilvl w:val="0"/>
          <w:numId w:val="1"/>
        </w:numPr>
        <w:suppressAutoHyphens/>
        <w:ind w:left="0" w:firstLine="0"/>
        <w:rPr>
          <w:spacing w:val="40"/>
        </w:rPr>
      </w:pPr>
      <w:r>
        <w:rPr>
          <w:spacing w:val="40"/>
        </w:rPr>
        <w:t>СОВЕТ ДЕПУТАТОВ</w:t>
      </w:r>
    </w:p>
    <w:p w14:paraId="78DBF2A1">
      <w:pPr>
        <w:pStyle w:val="2"/>
        <w:numPr>
          <w:ilvl w:val="0"/>
          <w:numId w:val="1"/>
        </w:numPr>
        <w:suppressAutoHyphens/>
        <w:ind w:left="0" w:firstLine="0"/>
      </w:pPr>
      <w:r>
        <w:t>ГОРОДА  ИСКИТИМА</w:t>
      </w:r>
    </w:p>
    <w:p w14:paraId="261DA911">
      <w:pPr>
        <w:pStyle w:val="2"/>
        <w:numPr>
          <w:ilvl w:val="0"/>
          <w:numId w:val="1"/>
        </w:numPr>
        <w:suppressAutoHyphens/>
        <w:ind w:left="0" w:firstLine="0"/>
        <w:rPr>
          <w:spacing w:val="40"/>
        </w:rPr>
      </w:pPr>
      <w:r>
        <w:rPr>
          <w:spacing w:val="40"/>
        </w:rPr>
        <w:t>НОВОСИБИРСКОЙ ОБЛАСТИ</w:t>
      </w:r>
    </w:p>
    <w:p w14:paraId="29CE9CAA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пятого  созыва</w:t>
      </w:r>
    </w:p>
    <w:p w14:paraId="41E9DA97">
      <w:pPr>
        <w:tabs>
          <w:tab w:val="left" w:pos="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14:paraId="18A52223">
      <w:pPr>
        <w:tabs>
          <w:tab w:val="left" w:pos="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№  </w:t>
      </w:r>
    </w:p>
    <w:p w14:paraId="496A13D6">
      <w:pPr>
        <w:spacing w:after="200"/>
        <w:rPr>
          <w:sz w:val="28"/>
          <w:szCs w:val="28"/>
        </w:rPr>
      </w:pPr>
    </w:p>
    <w:p w14:paraId="7DB8DCAA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б  итогах социально-экономического развития города Искитима за 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</w:t>
      </w:r>
    </w:p>
    <w:p w14:paraId="5C404A5E">
      <w:pPr>
        <w:jc w:val="center"/>
        <w:rPr>
          <w:sz w:val="28"/>
          <w:szCs w:val="28"/>
        </w:rPr>
      </w:pPr>
    </w:p>
    <w:p w14:paraId="32012BF2">
      <w:pPr>
        <w:jc w:val="center"/>
        <w:rPr>
          <w:sz w:val="28"/>
          <w:szCs w:val="28"/>
        </w:rPr>
      </w:pPr>
    </w:p>
    <w:p w14:paraId="32542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Заслушав информацию администрации города Искитима об  итогах социально-экономического развития города Искитима за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год, руководствуясь Федеральным законом от 06.10.2003 №131-ФЗ «Об общих принципах организации местного самоуправления в Российской Федерации»,  Уставом города Искитима Новосибирской области, Совет депутатов города Искитима Новосибирской области </w:t>
      </w:r>
    </w:p>
    <w:p w14:paraId="3DB3D0C9">
      <w:pPr>
        <w:ind w:firstLine="700"/>
        <w:jc w:val="both"/>
        <w:rPr>
          <w:sz w:val="28"/>
          <w:szCs w:val="28"/>
        </w:rPr>
      </w:pPr>
    </w:p>
    <w:p w14:paraId="7328A15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3FD765C6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об  итогах социально-экономического развития города Искитима за 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(приложение).</w:t>
      </w:r>
    </w:p>
    <w:p w14:paraId="4328E0AC">
      <w:pPr>
        <w:ind w:left="708"/>
        <w:jc w:val="both"/>
        <w:rPr>
          <w:sz w:val="28"/>
          <w:szCs w:val="28"/>
        </w:rPr>
      </w:pPr>
    </w:p>
    <w:p w14:paraId="7045D31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принятия.</w:t>
      </w:r>
    </w:p>
    <w:p w14:paraId="6DBAE2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7A56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8CE83AC">
      <w:pPr>
        <w:jc w:val="right"/>
        <w:rPr>
          <w:sz w:val="28"/>
          <w:szCs w:val="28"/>
        </w:rPr>
      </w:pPr>
      <w:r>
        <w:rPr>
          <w:sz w:val="28"/>
        </w:rPr>
        <w:t>Председатель Совета депутатов</w:t>
      </w:r>
      <w:r>
        <w:t xml:space="preserve">         </w:t>
      </w:r>
      <w:r>
        <w:rPr>
          <w:sz w:val="28"/>
          <w:szCs w:val="28"/>
        </w:rPr>
        <w:t xml:space="preserve">                                          Ю.А. Мартынов </w:t>
      </w:r>
    </w:p>
    <w:p w14:paraId="185BC85F">
      <w:pPr>
        <w:jc w:val="both"/>
        <w:rPr>
          <w:i/>
          <w:lang w:val="ru-RU"/>
        </w:rPr>
      </w:pPr>
    </w:p>
    <w:p w14:paraId="3265B472">
      <w:pPr>
        <w:jc w:val="both"/>
        <w:rPr>
          <w:i/>
          <w:lang w:val="ru-RU"/>
        </w:rPr>
      </w:pPr>
    </w:p>
    <w:p w14:paraId="009EE215">
      <w:pPr>
        <w:jc w:val="both"/>
        <w:rPr>
          <w:i/>
          <w:lang w:val="ru-RU"/>
        </w:rPr>
      </w:pPr>
    </w:p>
    <w:p w14:paraId="230A1AB4">
      <w:pPr>
        <w:jc w:val="both"/>
        <w:rPr>
          <w:sz w:val="28"/>
          <w:szCs w:val="28"/>
        </w:rPr>
      </w:pPr>
      <w:r>
        <w:rPr>
          <w:rFonts w:hint="default"/>
          <w:i w:val="0"/>
          <w:iCs/>
          <w:sz w:val="28"/>
          <w:szCs w:val="28"/>
          <w:lang w:val="ru-RU"/>
        </w:rPr>
        <w:t xml:space="preserve">                                                          </w:t>
      </w:r>
      <w:r>
        <w:rPr>
          <w:i w:val="0"/>
          <w:iCs/>
          <w:sz w:val="28"/>
          <w:szCs w:val="28"/>
        </w:rPr>
        <w:br w:type="column"/>
      </w:r>
      <w:r>
        <w:rPr>
          <w:rFonts w:hint="default"/>
          <w:i w:val="0"/>
          <w:i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 w14:paraId="043FCC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14:paraId="49E782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Искитима Новосибирской области </w:t>
      </w:r>
    </w:p>
    <w:p w14:paraId="3ACE0C4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      №    </w:t>
      </w:r>
    </w:p>
    <w:p w14:paraId="39CC4EE4">
      <w:pPr>
        <w:jc w:val="center"/>
        <w:rPr>
          <w:i/>
        </w:rPr>
      </w:pPr>
    </w:p>
    <w:p w14:paraId="1737A184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bookmarkStart w:id="0" w:name="_GoBack"/>
      <w:bookmarkEnd w:id="0"/>
      <w:r>
        <w:rPr>
          <w:sz w:val="28"/>
          <w:szCs w:val="28"/>
        </w:rPr>
        <w:t xml:space="preserve">б  итогах социально-экономического развития города Искитима за  </w:t>
      </w:r>
      <w:r>
        <w:rPr>
          <w:sz w:val="28"/>
          <w:szCs w:val="28"/>
          <w:lang w:val="ru-RU"/>
        </w:rPr>
        <w:t>202</w:t>
      </w:r>
      <w:r>
        <w:rPr>
          <w:rFonts w:hint="default"/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год</w:t>
      </w:r>
    </w:p>
    <w:p w14:paraId="7BE8F25D">
      <w:pPr>
        <w:jc w:val="center"/>
        <w:rPr>
          <w:sz w:val="28"/>
          <w:szCs w:val="28"/>
        </w:rPr>
      </w:pPr>
    </w:p>
    <w:p w14:paraId="24C6407C">
      <w:pPr>
        <w:pStyle w:val="14"/>
        <w:spacing w:line="271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сохран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>лась тенденция снижения численности населения города.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о</w:t>
      </w:r>
      <w:r>
        <w:rPr>
          <w:rStyle w:val="5"/>
          <w:rFonts w:ascii="Times New Roman" w:hAnsi="Times New Roman" w:eastAsia="Calibri"/>
          <w:i w:val="0"/>
          <w:sz w:val="28"/>
        </w:rPr>
        <w:t>ценочная численность на 01.01.202</w:t>
      </w:r>
      <w:r>
        <w:rPr>
          <w:rStyle w:val="5"/>
          <w:rFonts w:hint="default" w:ascii="Times New Roman" w:hAnsi="Times New Roman" w:eastAsia="Calibri"/>
          <w:i w:val="0"/>
          <w:sz w:val="28"/>
          <w:lang w:val="ru-RU"/>
        </w:rPr>
        <w:t>5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 года составила 5</w:t>
      </w:r>
      <w:r>
        <w:rPr>
          <w:rStyle w:val="5"/>
          <w:rFonts w:hint="default" w:ascii="Times New Roman" w:hAnsi="Times New Roman" w:eastAsia="Calibri"/>
          <w:i w:val="0"/>
          <w:sz w:val="28"/>
          <w:lang w:val="ru-RU"/>
        </w:rPr>
        <w:t xml:space="preserve">6514 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человек, снизившись по сравнению с началом </w:t>
      </w:r>
      <w:r>
        <w:rPr>
          <w:rStyle w:val="5"/>
          <w:rFonts w:ascii="Times New Roman" w:hAnsi="Times New Roman" w:eastAsia="Calibri"/>
          <w:i w:val="0"/>
          <w:sz w:val="28"/>
          <w:lang w:val="ru-RU"/>
        </w:rPr>
        <w:t>202</w:t>
      </w:r>
      <w:r>
        <w:rPr>
          <w:rStyle w:val="5"/>
          <w:rFonts w:hint="default" w:ascii="Times New Roman" w:hAnsi="Times New Roman" w:eastAsia="Calibri"/>
          <w:i w:val="0"/>
          <w:sz w:val="28"/>
          <w:lang w:val="ru-RU"/>
        </w:rPr>
        <w:t>4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 года на </w:t>
      </w:r>
      <w:r>
        <w:rPr>
          <w:rStyle w:val="5"/>
          <w:rFonts w:hint="default" w:ascii="Times New Roman" w:hAnsi="Times New Roman" w:eastAsia="Calibri"/>
          <w:i w:val="0"/>
          <w:sz w:val="28"/>
          <w:lang w:val="ru-RU"/>
        </w:rPr>
        <w:t>140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 человек. </w:t>
      </w:r>
    </w:p>
    <w:p w14:paraId="177E92F5">
      <w:pPr>
        <w:pStyle w:val="14"/>
        <w:spacing w:line="271" w:lineRule="auto"/>
        <w:ind w:left="0" w:right="0" w:firstLine="709"/>
        <w:rPr>
          <w:rStyle w:val="5"/>
          <w:rFonts w:ascii="Times New Roman" w:hAnsi="Times New Roman" w:eastAsia="Calibri"/>
          <w:i w:val="0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Существенной причиной сокращения численности населения является естественная убыль, которая составила за прошедший  год </w:t>
      </w:r>
      <w:r>
        <w:rPr>
          <w:rFonts w:hint="default" w:ascii="Times New Roman" w:hAnsi="Times New Roman"/>
          <w:sz w:val="28"/>
          <w:szCs w:val="28"/>
          <w:lang w:val="ru-RU"/>
        </w:rPr>
        <w:t>462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 человек</w:t>
      </w:r>
      <w:r>
        <w:rPr>
          <w:rStyle w:val="5"/>
          <w:rFonts w:ascii="Times New Roman" w:hAnsi="Times New Roman" w:eastAsia="Calibri"/>
          <w:i w:val="0"/>
          <w:sz w:val="28"/>
          <w:lang w:val="ru-RU"/>
        </w:rPr>
        <w:t>а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. </w:t>
      </w:r>
    </w:p>
    <w:p w14:paraId="60BF9EA0">
      <w:pPr>
        <w:pStyle w:val="14"/>
        <w:spacing w:line="271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Искитиме появилось на свет 5</w:t>
      </w:r>
      <w:r>
        <w:rPr>
          <w:rFonts w:hint="default" w:ascii="Times New Roman" w:hAnsi="Times New Roman"/>
          <w:sz w:val="28"/>
          <w:szCs w:val="28"/>
          <w:lang w:val="ru-RU"/>
        </w:rPr>
        <w:t>15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что </w:t>
      </w:r>
      <w:r>
        <w:rPr>
          <w:rStyle w:val="5"/>
          <w:rFonts w:ascii="Times New Roman" w:hAnsi="Times New Roman" w:eastAsia="Calibri"/>
          <w:i w:val="0"/>
          <w:sz w:val="28"/>
          <w:lang w:val="ru-RU"/>
        </w:rPr>
        <w:t>больше</w:t>
      </w:r>
      <w:r>
        <w:rPr>
          <w:rStyle w:val="5"/>
          <w:rFonts w:hint="default" w:ascii="Times New Roman" w:hAnsi="Times New Roman" w:eastAsia="Calibri"/>
          <w:i w:val="0"/>
          <w:sz w:val="28"/>
          <w:lang w:val="ru-RU"/>
        </w:rPr>
        <w:t xml:space="preserve"> на 3 ребёнка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 к уровню 202</w:t>
      </w:r>
      <w:r>
        <w:rPr>
          <w:rStyle w:val="5"/>
          <w:rFonts w:hint="default" w:ascii="Times New Roman" w:hAnsi="Times New Roman" w:eastAsia="Calibri"/>
          <w:i w:val="0"/>
          <w:sz w:val="28"/>
          <w:lang w:val="ru-RU"/>
        </w:rPr>
        <w:t>3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Продолжает оставаться высокой смертность населения – </w:t>
      </w:r>
      <w:r>
        <w:rPr>
          <w:rStyle w:val="5"/>
          <w:rFonts w:hint="default" w:ascii="Times New Roman" w:hAnsi="Times New Roman" w:eastAsia="Calibri"/>
          <w:i w:val="0"/>
          <w:sz w:val="28"/>
          <w:lang w:val="ru-RU"/>
        </w:rPr>
        <w:t>977</w:t>
      </w:r>
      <w:r>
        <w:rPr>
          <w:rStyle w:val="5"/>
          <w:rFonts w:ascii="Times New Roman" w:hAnsi="Times New Roman" w:eastAsia="Calibri"/>
          <w:i w:val="0"/>
          <w:sz w:val="28"/>
        </w:rPr>
        <w:t xml:space="preserve"> человек.</w:t>
      </w:r>
    </w:p>
    <w:p w14:paraId="12213EC1">
      <w:pPr>
        <w:ind w:firstLine="709"/>
        <w:jc w:val="both"/>
        <w:rPr>
          <w:rStyle w:val="5"/>
          <w:rFonts w:eastAsia="Calibri"/>
          <w:i w:val="0"/>
          <w:sz w:val="28"/>
        </w:rPr>
      </w:pPr>
      <w:r>
        <w:rPr>
          <w:rStyle w:val="5"/>
          <w:rFonts w:eastAsia="Calibri"/>
          <w:i w:val="0"/>
          <w:sz w:val="28"/>
        </w:rPr>
        <w:t>На фоне изменения численности населения, в результате естественного движения, для города Искитима возрастает значение миграции. В 202</w:t>
      </w:r>
      <w:r>
        <w:rPr>
          <w:rStyle w:val="5"/>
          <w:rFonts w:hint="default" w:eastAsia="Calibri"/>
          <w:i w:val="0"/>
          <w:sz w:val="28"/>
          <w:lang w:val="ru-RU"/>
        </w:rPr>
        <w:t>4</w:t>
      </w:r>
      <w:r>
        <w:rPr>
          <w:rStyle w:val="5"/>
          <w:rFonts w:eastAsia="Calibri"/>
          <w:i w:val="0"/>
          <w:sz w:val="28"/>
        </w:rPr>
        <w:t xml:space="preserve"> году была отмечена миграционная прибыль населения в город Искитим в количестве – </w:t>
      </w:r>
      <w:r>
        <w:rPr>
          <w:rStyle w:val="5"/>
          <w:rFonts w:hint="default" w:eastAsia="Calibri"/>
          <w:i w:val="0"/>
          <w:sz w:val="28"/>
          <w:lang w:val="ru-RU"/>
        </w:rPr>
        <w:t>322</w:t>
      </w:r>
      <w:r>
        <w:rPr>
          <w:rStyle w:val="5"/>
          <w:rFonts w:eastAsia="Calibri"/>
          <w:i w:val="0"/>
          <w:sz w:val="28"/>
        </w:rPr>
        <w:t xml:space="preserve"> человек. </w:t>
      </w:r>
    </w:p>
    <w:p w14:paraId="6E8B77B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Style w:val="5"/>
          <w:rFonts w:eastAsia="Calibri"/>
          <w:i w:val="0"/>
          <w:sz w:val="28"/>
        </w:rPr>
      </w:pPr>
      <w:r>
        <w:rPr>
          <w:rStyle w:val="5"/>
          <w:rFonts w:eastAsia="Calibri"/>
          <w:i w:val="0"/>
          <w:sz w:val="28"/>
        </w:rPr>
        <w:t>Ситуация на рынке труда города на 01.01.2025 года стабильная, уровень безработицы составил 0,2</w:t>
      </w:r>
      <w:r>
        <w:rPr>
          <w:rStyle w:val="5"/>
          <w:rFonts w:hint="default" w:eastAsia="Calibri"/>
          <w:i w:val="0"/>
          <w:sz w:val="28"/>
          <w:lang w:val="ru-RU"/>
        </w:rPr>
        <w:t xml:space="preserve"> </w:t>
      </w:r>
      <w:r>
        <w:rPr>
          <w:rStyle w:val="5"/>
          <w:rFonts w:eastAsia="Calibri"/>
          <w:i w:val="0"/>
          <w:sz w:val="28"/>
        </w:rPr>
        <w:t>% от экономически активного населения, снизившись на 0,2</w:t>
      </w:r>
      <w:r>
        <w:rPr>
          <w:rStyle w:val="5"/>
          <w:rFonts w:hint="default" w:eastAsia="Calibri"/>
          <w:i w:val="0"/>
          <w:sz w:val="28"/>
          <w:lang w:val="ru-RU"/>
        </w:rPr>
        <w:t xml:space="preserve"> п.п </w:t>
      </w:r>
      <w:r>
        <w:rPr>
          <w:rStyle w:val="5"/>
          <w:rFonts w:eastAsia="Calibri"/>
          <w:i w:val="0"/>
          <w:sz w:val="28"/>
        </w:rPr>
        <w:t>по отношению к аналогичной дате прошлого года</w:t>
      </w:r>
      <w:r>
        <w:rPr>
          <w:rStyle w:val="5"/>
          <w:rFonts w:hint="default" w:eastAsia="Calibri"/>
          <w:i w:val="0"/>
          <w:sz w:val="28"/>
          <w:lang w:val="ru-RU"/>
        </w:rPr>
        <w:t>.</w:t>
      </w:r>
      <w:r>
        <w:rPr>
          <w:rStyle w:val="5"/>
          <w:rFonts w:eastAsia="Calibri"/>
          <w:i w:val="0"/>
          <w:sz w:val="28"/>
        </w:rPr>
        <w:t xml:space="preserve"> С начала года число граждан</w:t>
      </w:r>
      <w:r>
        <w:rPr>
          <w:rStyle w:val="5"/>
          <w:rFonts w:hint="default" w:eastAsia="Calibri"/>
          <w:i w:val="0"/>
          <w:sz w:val="28"/>
          <w:lang w:val="ru-RU"/>
        </w:rPr>
        <w:t>,</w:t>
      </w:r>
      <w:r>
        <w:rPr>
          <w:rStyle w:val="5"/>
          <w:rFonts w:eastAsia="Calibri"/>
          <w:i w:val="0"/>
          <w:sz w:val="28"/>
        </w:rPr>
        <w:t xml:space="preserve"> имеющих официальный статус безработных</w:t>
      </w:r>
      <w:r>
        <w:rPr>
          <w:rStyle w:val="5"/>
          <w:rFonts w:hint="default" w:eastAsia="Calibri"/>
          <w:i w:val="0"/>
          <w:sz w:val="28"/>
          <w:lang w:val="ru-RU"/>
        </w:rPr>
        <w:t>,</w:t>
      </w:r>
      <w:r>
        <w:rPr>
          <w:rStyle w:val="5"/>
          <w:rFonts w:eastAsia="Calibri"/>
          <w:i w:val="0"/>
          <w:sz w:val="28"/>
        </w:rPr>
        <w:t xml:space="preserve"> составило 66 человек (202</w:t>
      </w:r>
      <w:r>
        <w:rPr>
          <w:rStyle w:val="5"/>
          <w:rFonts w:hint="default" w:eastAsia="Calibri"/>
          <w:i w:val="0"/>
          <w:sz w:val="28"/>
          <w:lang w:val="ru-RU"/>
        </w:rPr>
        <w:t>3</w:t>
      </w:r>
      <w:r>
        <w:rPr>
          <w:rStyle w:val="5"/>
          <w:rFonts w:eastAsia="Calibri"/>
          <w:i w:val="0"/>
          <w:sz w:val="28"/>
        </w:rPr>
        <w:t xml:space="preserve"> год – 1</w:t>
      </w:r>
      <w:r>
        <w:rPr>
          <w:rStyle w:val="5"/>
          <w:rFonts w:hint="default" w:eastAsia="Calibri"/>
          <w:i w:val="0"/>
          <w:sz w:val="28"/>
          <w:lang w:val="ru-RU"/>
        </w:rPr>
        <w:t>35</w:t>
      </w:r>
      <w:r>
        <w:rPr>
          <w:rStyle w:val="5"/>
          <w:rFonts w:eastAsia="Calibri"/>
          <w:i w:val="0"/>
          <w:sz w:val="28"/>
        </w:rPr>
        <w:t xml:space="preserve"> человек). За 2024 год из числа граждан, уволенных в связи с ликвидацией организации либо сокращением численности или штата работников, обратились в ГКУ НСО «ЦЗН г.Искитима» за содействием в поиске подходящей работы 24 человека (2023 год – 17 человек), что выше уровня аналогичного периода прошлого года в 1,4 раза.</w:t>
      </w:r>
    </w:p>
    <w:p w14:paraId="16DA625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0" w:firstLineChars="250"/>
        <w:jc w:val="both"/>
        <w:textAlignment w:val="auto"/>
        <w:rPr>
          <w:rStyle w:val="5"/>
          <w:rFonts w:eastAsia="Calibri"/>
          <w:i w:val="0"/>
          <w:sz w:val="28"/>
        </w:rPr>
      </w:pPr>
      <w:r>
        <w:rPr>
          <w:rStyle w:val="5"/>
          <w:rFonts w:eastAsia="Calibri"/>
          <w:i w:val="0"/>
          <w:sz w:val="28"/>
        </w:rPr>
        <w:t>Задолженность по выплате заработной платы отсутствует.</w:t>
      </w:r>
    </w:p>
    <w:p w14:paraId="33B71D6B">
      <w:pPr>
        <w:pStyle w:val="1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Сохранилась и положительная динамика уровня заработной платы.</w:t>
      </w:r>
    </w:p>
    <w:p w14:paraId="7C495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заработная плата по полному кругу предприятий увеличилась на 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,9% и составила 70 304 руб. Среднедушевые денежные доходы населения за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составили </w:t>
      </w:r>
      <w:r>
        <w:rPr>
          <w:rFonts w:hint="default"/>
          <w:sz w:val="28"/>
          <w:szCs w:val="28"/>
          <w:lang w:val="ru-RU"/>
        </w:rPr>
        <w:t>30182</w:t>
      </w:r>
      <w:r>
        <w:rPr>
          <w:sz w:val="28"/>
          <w:szCs w:val="28"/>
        </w:rPr>
        <w:t xml:space="preserve"> руб. </w:t>
      </w:r>
    </w:p>
    <w:p w14:paraId="3CBCB5B9">
      <w:pPr>
        <w:ind w:firstLine="709"/>
        <w:jc w:val="center"/>
        <w:rPr>
          <w:b/>
          <w:sz w:val="28"/>
          <w:szCs w:val="28"/>
        </w:rPr>
      </w:pPr>
    </w:p>
    <w:p w14:paraId="291CCE3F">
      <w:pPr>
        <w:pStyle w:val="14"/>
        <w:spacing w:line="271" w:lineRule="auto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Положительная динамика отмечается в промышленности городского округа.  </w:t>
      </w:r>
    </w:p>
    <w:p w14:paraId="3EC0A6F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Основой экономического потенциала города Искитима </w:t>
      </w:r>
      <w:r>
        <w:rPr>
          <w:sz w:val="28"/>
          <w:szCs w:val="28"/>
          <w:lang w:val="en-US"/>
        </w:rPr>
        <w:t>остаётся</w:t>
      </w:r>
      <w:r>
        <w:rPr>
          <w:sz w:val="28"/>
          <w:szCs w:val="28"/>
        </w:rPr>
        <w:t xml:space="preserve"> промышленность. Общий вклад промышленности в экономику можно оценить следующими показателями:</w:t>
      </w:r>
    </w:p>
    <w:p w14:paraId="1157E1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80,8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% от общего выпуска товаров, работ и услуг по городу; </w:t>
      </w:r>
    </w:p>
    <w:p w14:paraId="3E916A2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49,5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% от </w:t>
      </w:r>
      <w:r>
        <w:rPr>
          <w:sz w:val="28"/>
          <w:szCs w:val="28"/>
          <w:lang w:val="ru-RU"/>
        </w:rPr>
        <w:t>объёма</w:t>
      </w:r>
      <w:r>
        <w:rPr>
          <w:sz w:val="28"/>
          <w:szCs w:val="28"/>
        </w:rPr>
        <w:t xml:space="preserve"> инвестиций;</w:t>
      </w:r>
    </w:p>
    <w:p w14:paraId="4201812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49,9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% от численности занятых в экономике города; </w:t>
      </w:r>
    </w:p>
    <w:p w14:paraId="430FC7F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Промышленный комплекс города Искитима формируют более 90 промышленных предприятий,  в том числе 2 крупных - это АО «Искитимцемент» и АО «Новосибирский завод искусственного волокна». </w:t>
      </w:r>
    </w:p>
    <w:p w14:paraId="510D64C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2024 году предприятиями города Искитима отгружено промышленной продукции в действующих ценах на сумму 56,2 млрд. руб., индекс физического </w:t>
      </w:r>
      <w:r>
        <w:rPr>
          <w:sz w:val="28"/>
          <w:szCs w:val="28"/>
          <w:lang w:val="ru-RU"/>
        </w:rPr>
        <w:t>объёма</w:t>
      </w:r>
      <w:r>
        <w:rPr>
          <w:sz w:val="28"/>
          <w:szCs w:val="28"/>
        </w:rPr>
        <w:t xml:space="preserve"> составил 134,9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%. </w:t>
      </w:r>
    </w:p>
    <w:p w14:paraId="17B92F0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</w:t>
      </w:r>
      <w:r>
        <w:rPr>
          <w:sz w:val="28"/>
          <w:szCs w:val="28"/>
          <w:lang w:val="ru-RU"/>
        </w:rPr>
        <w:t>объёме</w:t>
      </w:r>
      <w:r>
        <w:rPr>
          <w:sz w:val="28"/>
          <w:szCs w:val="28"/>
        </w:rPr>
        <w:t xml:space="preserve"> промышленного производства имеет производство строительных материалов – 47,5 %, оборонная промышленность –  36,3%, добыча полезных ископаемых – 8,8 %, тепло - водоснабжение – 2,9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%. Пищевая промышленность обеспечивает 3,8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% производства, прочие производства составляют 0,7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%.  </w:t>
      </w:r>
    </w:p>
    <w:p w14:paraId="33CF8B0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 протяжении 2024 года удерживали позиции по производству продукции ведущие предприятия стройиндустрии, увеличены по сравнению с 2023 годом </w:t>
      </w:r>
      <w:r>
        <w:rPr>
          <w:sz w:val="28"/>
          <w:szCs w:val="28"/>
          <w:lang w:val="ru-RU"/>
        </w:rPr>
        <w:t>объёмы</w:t>
      </w:r>
      <w:r>
        <w:rPr>
          <w:sz w:val="28"/>
          <w:szCs w:val="28"/>
        </w:rPr>
        <w:t xml:space="preserve"> выпуска в натуральном выражении цемента – на 5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%, металлопрофиля – на 42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%, извести – на 5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%,</w:t>
      </w:r>
      <w:r>
        <w:t xml:space="preserve"> </w:t>
      </w:r>
      <w:r>
        <w:rPr>
          <w:sz w:val="28"/>
          <w:szCs w:val="28"/>
        </w:rPr>
        <w:t>щебня – на 83%, песка – на 4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%, сэндвич-панелей – на 5%.  </w:t>
      </w:r>
    </w:p>
    <w:p w14:paraId="20A9F6D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производстве пищевых продуктов наблюдается увеличение </w:t>
      </w:r>
      <w:r>
        <w:rPr>
          <w:sz w:val="28"/>
          <w:szCs w:val="28"/>
          <w:lang w:val="ru-RU"/>
        </w:rPr>
        <w:t>объёмов</w:t>
      </w:r>
      <w:r>
        <w:rPr>
          <w:sz w:val="28"/>
          <w:szCs w:val="28"/>
        </w:rPr>
        <w:t xml:space="preserve"> по выпуску мороженого на </w:t>
      </w:r>
      <w:r>
        <w:rPr>
          <w:rFonts w:hint="default"/>
          <w:sz w:val="28"/>
          <w:szCs w:val="28"/>
          <w:lang w:val="ru-RU"/>
        </w:rPr>
        <w:t xml:space="preserve">28 </w:t>
      </w:r>
      <w:r>
        <w:rPr>
          <w:sz w:val="28"/>
          <w:szCs w:val="28"/>
        </w:rPr>
        <w:t xml:space="preserve">%. </w:t>
      </w:r>
      <w:r>
        <w:rPr>
          <w:sz w:val="28"/>
          <w:szCs w:val="28"/>
          <w:lang w:val="ru-RU"/>
        </w:rPr>
        <w:t>Объёмы</w:t>
      </w:r>
      <w:r>
        <w:rPr>
          <w:sz w:val="28"/>
          <w:szCs w:val="28"/>
        </w:rPr>
        <w:t xml:space="preserve"> производства безалкогольных напитков увеличены в 4,1 раза, пива в 4,4 раза. </w:t>
      </w:r>
    </w:p>
    <w:p w14:paraId="3026B2E2">
      <w:pPr>
        <w:ind w:firstLine="709"/>
        <w:jc w:val="both"/>
        <w:rPr>
          <w:sz w:val="28"/>
          <w:szCs w:val="28"/>
        </w:rPr>
      </w:pPr>
    </w:p>
    <w:p w14:paraId="58FA968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Анализ итогов инвестиционной деятельности предприятий и организаций города  показал, что объем инвестиций в основной капитал за счёт всех источников финансирования увеличился на 88,1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% в сопоставимых ценах к уровню 2023 года и составил 4,4 млрд. руб. </w:t>
      </w:r>
    </w:p>
    <w:p w14:paraId="6F01D11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Более 70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% общего объёма инвестиций в 2024 году приходится на производственную сферу и строительство жилья.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промышленности освоено около 50 % общего объёма инвестиций, которые в промышленных предприятиях были направлены  на техническое перевооружение производственных мощностей АО «Искитимцемент», АО «НЗИВ» и АО «ИскитимИзвесть».</w:t>
      </w:r>
    </w:p>
    <w:p w14:paraId="03F52D5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отчётном</w:t>
      </w:r>
      <w:r>
        <w:rPr>
          <w:sz w:val="28"/>
          <w:szCs w:val="28"/>
        </w:rPr>
        <w:t xml:space="preserve"> периоде бюджетные инвестиции составили 14,8 % от общего </w:t>
      </w:r>
      <w:r>
        <w:rPr>
          <w:sz w:val="28"/>
          <w:szCs w:val="28"/>
          <w:lang w:val="ru-RU"/>
        </w:rPr>
        <w:t>объёма</w:t>
      </w:r>
      <w:r>
        <w:rPr>
          <w:sz w:val="28"/>
          <w:szCs w:val="28"/>
        </w:rPr>
        <w:t xml:space="preserve"> инвестиций. Основная их часть была направлена  на ремонт дорог города, обновление подвижного состава автотранспортного предприятия города, переселение жителей из аварийного и ветхого жилья, здравоохранение и благоустройство сквера в микрорайоне Индустриальном.</w:t>
      </w:r>
    </w:p>
    <w:p w14:paraId="2DCBC90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</w:pPr>
      <w:r>
        <w:rPr>
          <w:color w:val="000000"/>
          <w:sz w:val="28"/>
          <w:szCs w:val="28"/>
        </w:rPr>
        <w:t>В 2024 году введено в эксплуатацию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21637 кв.м. жилья, что на 33,9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%   ниже уровня аналогичного показателя соответствующего периода прошлого года.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Объём строительно-монтажных работ, выполненный всеми предприятиями и организациями города, по сравнению с соответствующим периодом  прошлого года в сопоставимых ценах  увеличился на 3,2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%. Основной объем строительно-монтажных работ освоен в строительстве жилых зданий и  производственных помещений.</w:t>
      </w:r>
    </w:p>
    <w:p w14:paraId="59E2926B">
      <w:pPr>
        <w:spacing w:line="271" w:lineRule="auto"/>
        <w:ind w:firstLine="709"/>
        <w:contextualSpacing/>
        <w:jc w:val="both"/>
        <w:rPr>
          <w:sz w:val="28"/>
          <w:szCs w:val="28"/>
        </w:rPr>
      </w:pPr>
    </w:p>
    <w:p w14:paraId="4C76D07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Пассажирские перевозки на территории города Искитима осуществляют 4 перевозчик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, в т.ч. пассажирское автотранспортное предприятие и 3 предпринимателя. Основная доля в </w:t>
      </w:r>
      <w:r>
        <w:rPr>
          <w:sz w:val="28"/>
          <w:szCs w:val="28"/>
          <w:lang w:val="ru-RU"/>
        </w:rPr>
        <w:t>объёме</w:t>
      </w:r>
      <w:r>
        <w:rPr>
          <w:sz w:val="28"/>
          <w:szCs w:val="28"/>
        </w:rPr>
        <w:t xml:space="preserve"> пассажирских перевозок приходится на ООО «ПАТП». Сегодня это единственное предприятие, осуществляющее по договору с Министерством транспорта и дорожного хозяйств Новосибирской области пассажирские перевозки льготных категорий граждан на территории города.  Одной из основных проблем городского автотранспортного предприятия является изношенность  парка подвижного состава. В течение 2024 года произошло значительное обновление подвижного состава основного городского перевозчика. Приобретено 4 автобуса малого, среднего и большого класса. Пассажирские перевозки на территории Искитима организованы по 23 муниципальн</w:t>
      </w:r>
      <w:r>
        <w:rPr>
          <w:sz w:val="28"/>
          <w:szCs w:val="28"/>
          <w:lang w:val="ru-RU"/>
        </w:rPr>
        <w:t>ым</w:t>
      </w:r>
      <w:r>
        <w:rPr>
          <w:sz w:val="28"/>
          <w:szCs w:val="28"/>
        </w:rPr>
        <w:t xml:space="preserve"> маршрут</w:t>
      </w:r>
      <w:r>
        <w:rPr>
          <w:sz w:val="28"/>
          <w:szCs w:val="28"/>
          <w:lang w:val="ru-RU"/>
        </w:rPr>
        <w:t>ам</w:t>
      </w:r>
      <w:r>
        <w:rPr>
          <w:sz w:val="28"/>
          <w:szCs w:val="28"/>
        </w:rPr>
        <w:t xml:space="preserve">. Общий объем пассажирских перевозок  за 2024 год  увеличился  на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,9 % и составил 4 </w:t>
      </w:r>
      <w:r>
        <w:rPr>
          <w:rFonts w:hint="default"/>
          <w:sz w:val="28"/>
          <w:szCs w:val="28"/>
          <w:lang w:val="ru-RU"/>
        </w:rPr>
        <w:t>100</w:t>
      </w:r>
      <w:r>
        <w:rPr>
          <w:sz w:val="28"/>
          <w:szCs w:val="28"/>
        </w:rPr>
        <w:t xml:space="preserve"> тысяч человек. </w:t>
      </w:r>
    </w:p>
    <w:p w14:paraId="7816B9E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 отчётный период объем перевозок грузов автомобильным транспортом составил 3437,8 тыс. тонн.</w:t>
      </w:r>
    </w:p>
    <w:p w14:paraId="1E47471D">
      <w:pPr>
        <w:spacing w:line="271" w:lineRule="auto"/>
        <w:ind w:firstLine="709"/>
        <w:contextualSpacing/>
        <w:jc w:val="both"/>
        <w:rPr>
          <w:sz w:val="28"/>
          <w:szCs w:val="28"/>
        </w:rPr>
      </w:pPr>
    </w:p>
    <w:p w14:paraId="023EDE6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 итогам 2024 года на территории города Искитима розничную торговлю осуществляли 501  субъект потребительского рынка,  количество объектов потребительского рынка составляет 584, что выше  уровня 2023 года на 2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%. Фактическая обеспеченность стационарными торговыми объектами по итогам 2024 года  превышает установленный для города Искитима минимальный норматив в 1,7 раза. Обеспеченность стационарными торговыми объектами по  продаже продовольственных товаров  превышает в 1,2 раза, нестационарных торговых объектов превышение составляет в 3,3 раза, площадок для проведения ярмарок и рынков в 2,5 раза. Выполнение норматива минимальной обеспеченности торговых объектов по продаже периодической печатной продукции составляет 100%.  В 2024 году на территории города   </w:t>
      </w:r>
      <w:r>
        <w:rPr>
          <w:rFonts w:eastAsia="Calibri"/>
          <w:sz w:val="28"/>
          <w:szCs w:val="28"/>
          <w:lang w:eastAsia="en-US"/>
        </w:rPr>
        <w:t xml:space="preserve">    расширили  свою розничную сеть  ООО  «Элемент-Трейд» магазин «Монетка», АО «Тандер» магазин «Магнит», ООО «Продторг» магазин «Чижик»,         магазин электроники М.Видео  ООО «МВМ».  Введён в эксплуатацию ТЦ «Армада»  общей площадью 3500м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233457F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2024 год составил 8,7 млрд. рублей, индекс физического объёма оборота к 2023 году  составил 103,6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%. Основную часть оборота розничной торговли формируют крупные и средние организации</w:t>
      </w:r>
      <w:r>
        <w:rPr>
          <w:color w:val="FF0000"/>
          <w:sz w:val="28"/>
          <w:szCs w:val="28"/>
        </w:rPr>
        <w:t>.</w:t>
      </w:r>
    </w:p>
    <w:p w14:paraId="4550413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Большое внимание в сфере потребительского рынка уделяется  реализации мероприятий по развитию многоформатной торговли, в том числе по открытию нестационарных и мобильных объектов торговли и организации ярмарок.</w:t>
      </w:r>
    </w:p>
    <w:p w14:paraId="0942FE9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2024 году выданы паспорта на размещение 6 мобильных объектов для организации сезонной торговли, из них 1 мобильный объект для торговли овощами и фруктами,  5 - для торговли живыми цветами.  Вместе с тем администрацией г.Искитима организовано участие предпринимателей в шести оптово-розничных универсальных ярмар</w:t>
      </w:r>
      <w:r>
        <w:rPr>
          <w:sz w:val="28"/>
          <w:szCs w:val="28"/>
          <w:lang w:val="ru-RU"/>
        </w:rPr>
        <w:t>ках</w:t>
      </w:r>
      <w:r>
        <w:rPr>
          <w:sz w:val="28"/>
          <w:szCs w:val="28"/>
        </w:rPr>
        <w:t>, организованных Министерством промышленности, торговли и развития предпринимательства Новосибирской области. Кроме этого, на территории города работают 5 ежедневных универсальных ярмарок  с общим числом торговых мест 396. С мая по октябрь во всех микрорайонах  города организованы места на «зелёных базарах», где граждане, ведущие личные подсобные хозяйства, могут реализовать излишки сельскохозяйственной продукции.</w:t>
      </w:r>
    </w:p>
    <w:p w14:paraId="10CC4CD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Сеть предприятий общественного питания представлена 62 предприятиями с общим количеством посадочных мест в них - 2933. По сравнению с 2023 годом количество объектов увеличилось незначительно. По итогам 2024 года оборот предприятий общественного питания в г.Искитиме составил 330,2 млн. рублей, индекс физического объёма к 2023 году составил 105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%.</w:t>
      </w:r>
    </w:p>
    <w:p w14:paraId="2DCC5606"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Важную составляющую в сфере потребительского рынка занимает бытовое обслуживание населения. Население города обеспечено всеми видами бытовых услуг в полном объёме. </w:t>
      </w:r>
    </w:p>
    <w:p w14:paraId="2773224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Объем платных услуг населени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 xml:space="preserve">  составил 240</w:t>
      </w:r>
      <w:r>
        <w:rPr>
          <w:rFonts w:hint="default"/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млн.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у</w:t>
      </w:r>
      <w:r>
        <w:rPr>
          <w:sz w:val="28"/>
          <w:szCs w:val="28"/>
          <w:lang w:val="ru-RU"/>
        </w:rPr>
        <w:t>б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>, индекс физического объёма к 2023 году составил 105%.</w:t>
      </w:r>
    </w:p>
    <w:p w14:paraId="2AAFD89E">
      <w:pPr>
        <w:ind w:firstLine="709"/>
        <w:jc w:val="both"/>
        <w:rPr>
          <w:sz w:val="28"/>
          <w:szCs w:val="28"/>
        </w:rPr>
      </w:pPr>
    </w:p>
    <w:p w14:paraId="43D82CD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обеспечивает поддержание конкурентных начал в экономике, что в свою очередь способствует созданию новых более эффективных и производительных рабочих мест. </w:t>
      </w:r>
      <w:r>
        <w:rPr>
          <w:sz w:val="28"/>
          <w:szCs w:val="28"/>
        </w:rPr>
        <w:t>Роль малого бизнеса нельзя недооценивать, так как от его развития зависят повышение конкурентоспособности отраслей экономики, увеличение налоговых поступлений и благосостояние населения. </w:t>
      </w:r>
    </w:p>
    <w:p w14:paraId="032DEC2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 итогам 2024 года на территории города Искитима осуществляли различные виды деятельности 1 317 индивидуальных предпринимателя и 554 предприяти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малого бизнеса. Численность занятых на малых предприятиях снизилась за счёт снижения</w:t>
      </w:r>
      <w:r>
        <w:rPr>
          <w:rFonts w:hint="default"/>
          <w:sz w:val="28"/>
          <w:szCs w:val="28"/>
          <w:lang w:val="ru-RU"/>
        </w:rPr>
        <w:t xml:space="preserve"> количества</w:t>
      </w:r>
      <w:r>
        <w:rPr>
          <w:sz w:val="28"/>
          <w:szCs w:val="28"/>
        </w:rPr>
        <w:t xml:space="preserve"> предприятий малого и среднего бизнеса и составила 6 269 человек. </w:t>
      </w:r>
    </w:p>
    <w:p w14:paraId="51774D2A">
      <w:pPr>
        <w:pStyle w:val="2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минувшем году продолжена поддержка этого сектора. В рамках реализации мероприятий муниципальной программы «Развитие малого и среднего предпринимательства в городе Искитиме» оказывалась консультационная, имущественная и финансовая поддержки.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оказание финансовой поддержки в 2024 году выделено 984 647,84 руб., в том числе 974 801,36 руб. средства областного бюджета и 9 846,48 руб. местного бюджета. В результате проведения конкурсных процедур поддержку получили 3 субъекта малого и среднего предпринимательства, выбрав всю сумму за 2 этапа конкурса.</w:t>
      </w:r>
    </w:p>
    <w:p w14:paraId="292D23B7">
      <w:pPr>
        <w:pStyle w:val="2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информационно-консультационного пункта оказана консультационная поддержка 20 субъектам малого и среднего предпринимательства по различным вопросам организации и ведения бизнеса, в том числе  в подготовке бизнес-планов.</w:t>
      </w:r>
    </w:p>
    <w:p w14:paraId="0FD770E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Доля инвестиционных вложений малых и средних предприятий составляет 39 % от общего объёма инвестиций по городу.</w:t>
      </w:r>
    </w:p>
    <w:p w14:paraId="77D847B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Ещё одним элементом механизма поддержки малого бизнеса является имущественная поддержка. В настоящее время действуют 112  договоров аренды муниципального имущества и земли, актуализирован перечень муниципального имущества, переданного СМ и СП, включающий 45 объектов, общей площадью 21,9 тыс. кв.м.</w:t>
      </w:r>
    </w:p>
    <w:p w14:paraId="5F550D64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sz w:val="23"/>
          <w:szCs w:val="23"/>
        </w:rPr>
      </w:pPr>
      <w:r>
        <w:rPr>
          <w:sz w:val="28"/>
          <w:szCs w:val="28"/>
        </w:rPr>
        <w:t>В 2024 году в рамках Федерального закона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 поступило 3 заявки от арендаторов муниципального имущества, имеющи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 xml:space="preserve">  преимущественное право на выкуп муниципального имущества. По результатам рассмотрения данных заявок заключены 3 договора купли-продажи на сумму 4458,3 тыс.руб. </w:t>
      </w:r>
    </w:p>
    <w:p w14:paraId="4466BBA4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sz w:val="23"/>
          <w:szCs w:val="23"/>
        </w:rPr>
      </w:pPr>
      <w:r>
        <w:rPr>
          <w:sz w:val="28"/>
          <w:szCs w:val="28"/>
        </w:rPr>
        <w:t>Заключены  договоры купли-продажи на земельные участки без проведения торгов (ст. 39.20 ЗК РФ) в количестве 20 на общую сумму 10,7 млн. руб.</w:t>
      </w:r>
    </w:p>
    <w:p w14:paraId="3D4F514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Развитие малого бизнеса позволяет решить проблемы</w:t>
      </w:r>
      <w:r>
        <w:t xml:space="preserve"> </w:t>
      </w:r>
      <w:r>
        <w:rPr>
          <w:sz w:val="28"/>
          <w:szCs w:val="28"/>
        </w:rPr>
        <w:t>занятости населения, расширения рынка потребительских товаров и платных</w:t>
      </w:r>
      <w:r>
        <w:t xml:space="preserve"> </w:t>
      </w:r>
      <w:r>
        <w:rPr>
          <w:sz w:val="28"/>
          <w:szCs w:val="28"/>
        </w:rPr>
        <w:t>услуг. Реализация перспективных направлений развития малого и среднего предпринимательства и приоритетных видов деятельности, которые служат удовлетворению первоочередных</w:t>
      </w:r>
      <w:r>
        <w:t xml:space="preserve"> </w:t>
      </w:r>
      <w:r>
        <w:rPr>
          <w:sz w:val="28"/>
          <w:szCs w:val="28"/>
        </w:rPr>
        <w:t>нужд населения, используют в основном местные сырьевые и трудовые ресурсы, что имеет положительные социальные последствия для жителей города Искитима.</w:t>
      </w:r>
    </w:p>
    <w:p w14:paraId="687E323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</w:p>
    <w:p w14:paraId="7DDD162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Style w:val="20"/>
          <w:sz w:val="28"/>
          <w:szCs w:val="28"/>
        </w:rPr>
      </w:pPr>
      <w:r>
        <w:rPr>
          <w:sz w:val="28"/>
          <w:szCs w:val="28"/>
        </w:rPr>
        <w:t>При уменьшении на 17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% по сравнению с  2023 годом удельного веса прибыльных предприятий города, прибыль, полученная ими по итогам 2024 года</w:t>
      </w:r>
      <w:r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 6968,1 млн. руб.,  что на 41,6 % выше  уровня 2023 года. </w:t>
      </w:r>
      <w:r>
        <w:rPr>
          <w:rStyle w:val="20"/>
          <w:sz w:val="28"/>
          <w:szCs w:val="28"/>
        </w:rPr>
        <w:t xml:space="preserve">99,8% прибыли приходится на долю предприятий обрабатывающей промышленности. </w:t>
      </w:r>
    </w:p>
    <w:p w14:paraId="7F8D210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Объем полученных предприятиями города убытков </w:t>
      </w:r>
      <w:r>
        <w:rPr>
          <w:rFonts w:hint="default"/>
          <w:sz w:val="28"/>
          <w:szCs w:val="28"/>
          <w:lang w:val="ru-RU"/>
        </w:rPr>
        <w:t xml:space="preserve"> увеличился в 77,4 раза</w:t>
      </w:r>
      <w:r>
        <w:rPr>
          <w:sz w:val="28"/>
          <w:szCs w:val="28"/>
        </w:rPr>
        <w:t xml:space="preserve"> к уровню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и составил 147 млн.  руб. </w:t>
      </w:r>
    </w:p>
    <w:p w14:paraId="296D9D4F">
      <w:pPr>
        <w:keepNext w:val="0"/>
        <w:keepLines w:val="0"/>
        <w:pageBreakBefore w:val="0"/>
        <w:tabs>
          <w:tab w:val="left" w:pos="780"/>
          <w:tab w:val="center" w:pos="4677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В результате, объём сальдированного финансового результата</w:t>
      </w:r>
      <w:r>
        <w:rPr>
          <w:sz w:val="28"/>
          <w:szCs w:val="28"/>
        </w:rPr>
        <w:t xml:space="preserve"> </w:t>
      </w:r>
      <w:r>
        <w:rPr>
          <w:rStyle w:val="20"/>
          <w:sz w:val="28"/>
          <w:szCs w:val="28"/>
        </w:rPr>
        <w:t>сложился в виде прибыли в размере 6821,1 млн. рублей, что на 38,7</w:t>
      </w:r>
      <w:r>
        <w:rPr>
          <w:rStyle w:val="20"/>
          <w:rFonts w:hint="default"/>
          <w:sz w:val="28"/>
          <w:szCs w:val="28"/>
          <w:lang w:val="ru-RU"/>
        </w:rPr>
        <w:t xml:space="preserve"> </w:t>
      </w:r>
      <w:r>
        <w:rPr>
          <w:rStyle w:val="20"/>
          <w:sz w:val="28"/>
          <w:szCs w:val="28"/>
        </w:rPr>
        <w:t>% больше аналогичного показателя прошлого года.</w:t>
      </w:r>
    </w:p>
    <w:p w14:paraId="01F6AD3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предприятий и организаций города увеличилась  по отношению к 2023 году на 37,2 %, а дебиторская задолженность  </w:t>
      </w:r>
      <w:r>
        <w:rPr>
          <w:rStyle w:val="20"/>
          <w:sz w:val="28"/>
          <w:szCs w:val="28"/>
        </w:rPr>
        <w:t>осталась на уровне прошлого года</w:t>
      </w:r>
      <w:r>
        <w:rPr>
          <w:sz w:val="28"/>
          <w:szCs w:val="28"/>
        </w:rPr>
        <w:t>.</w:t>
      </w:r>
    </w:p>
    <w:p w14:paraId="40F9E000">
      <w:pPr>
        <w:ind w:firstLine="709"/>
        <w:jc w:val="both"/>
        <w:rPr>
          <w:sz w:val="28"/>
          <w:szCs w:val="28"/>
        </w:rPr>
      </w:pPr>
    </w:p>
    <w:p w14:paraId="08EEBA2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 исполнении бюджета 2024 года реализация мероприятий бюджетной политики была направлена на решение неотложных проблем экономического и социального развития города, реализацию приоритетных направлений в рамках Указов Президента Российской Федерации. </w:t>
      </w:r>
    </w:p>
    <w:p w14:paraId="322BD7D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Доходная часть бюджета города  исполнена на 99,3 % и составила 3656,7 млн. рублей,  в том числе налоговых и неналоговых доходов поступило 1107,7 млн. рублей, что составляет 113,3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%  от плановых значений. По отношению к  поступлениям 2023 года наблюдается увеличение поступлений налоговых и неналоговых доходов на 245,5 млн. рублей. </w:t>
      </w:r>
    </w:p>
    <w:p w14:paraId="6F05AE79"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за отчётный период произведены в сумме 3477,2 млн. рублей. Расходная часть бюджета исполнена на 89,7 %.  </w:t>
      </w:r>
    </w:p>
    <w:p w14:paraId="1C407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ряда лет сохраняется социальная направленность бюджета. Порядка 75% общего объёма составляют расходные обязательства по содержанию и развитию социальной сферы. </w:t>
      </w:r>
    </w:p>
    <w:p w14:paraId="244D4694">
      <w:pPr>
        <w:ind w:firstLine="709"/>
        <w:jc w:val="both"/>
        <w:rPr>
          <w:sz w:val="28"/>
          <w:szCs w:val="28"/>
        </w:rPr>
      </w:pPr>
    </w:p>
    <w:p w14:paraId="5821416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cs="Arial CYR"/>
          <w:sz w:val="28"/>
          <w:szCs w:val="28"/>
        </w:rPr>
        <w:t>Показатели «охват работающего населения профилактическими осмотрами» и «охват детей диспансерным наблюдением» остались на уровне прошлого года</w:t>
      </w:r>
      <w:r>
        <w:rPr>
          <w:rFonts w:hint="default" w:cs="Arial CYR"/>
          <w:sz w:val="28"/>
          <w:szCs w:val="28"/>
          <w:lang w:val="ru-RU"/>
        </w:rPr>
        <w:t xml:space="preserve"> и составил 99,8%</w:t>
      </w:r>
      <w:r>
        <w:rPr>
          <w:rFonts w:cs="Arial CYR"/>
          <w:sz w:val="28"/>
          <w:szCs w:val="28"/>
        </w:rPr>
        <w:t>.</w:t>
      </w:r>
      <w:r>
        <w:rPr>
          <w:rFonts w:cs="Arial CYR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Проведение профилактических осмотров осуществляется на договорной основе согласно годовым спискам.</w:t>
      </w:r>
    </w:p>
    <w:p w14:paraId="5967455A">
      <w:pPr>
        <w:keepNext w:val="0"/>
        <w:keepLines w:val="0"/>
        <w:pageBreakBefore w:val="0"/>
        <w:tabs>
          <w:tab w:val="left" w:pos="780"/>
          <w:tab w:val="center" w:pos="4677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  <w:highlight w:val="yellow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За период 2024 года выявлено 13 несовершеннолетних детей-сирот и детей, оставшихся без попечения родителей,</w:t>
      </w:r>
      <w:r>
        <w:rPr>
          <w:rFonts w:hint="default"/>
          <w:sz w:val="28"/>
          <w:szCs w:val="28"/>
          <w:lang w:val="ru-RU"/>
        </w:rPr>
        <w:t xml:space="preserve"> все дети переданы</w:t>
      </w:r>
      <w:r>
        <w:rPr>
          <w:sz w:val="28"/>
          <w:szCs w:val="28"/>
        </w:rPr>
        <w:t xml:space="preserve"> на семейные формы </w:t>
      </w:r>
      <w:r>
        <w:rPr>
          <w:sz w:val="28"/>
          <w:szCs w:val="28"/>
          <w:lang w:val="ru-RU"/>
        </w:rPr>
        <w:t>устройства</w:t>
      </w:r>
      <w:r>
        <w:rPr>
          <w:rFonts w:hint="default"/>
          <w:sz w:val="28"/>
          <w:szCs w:val="28"/>
          <w:lang w:val="ru-RU"/>
        </w:rPr>
        <w:t>.</w:t>
      </w:r>
    </w:p>
    <w:p w14:paraId="4DC1D786">
      <w:pPr>
        <w:pStyle w:val="24"/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Удельный вес малоимущих граждан в общей численности населения составил 11,6 %,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что на  0,1 п.п. ниже, чем за соответствующий период 2023 года.</w:t>
      </w:r>
      <w:r>
        <w:rPr>
          <w:color w:val="FF0000"/>
          <w:sz w:val="28"/>
          <w:szCs w:val="28"/>
          <w:lang w:val="ru-RU"/>
        </w:rPr>
        <w:t xml:space="preserve"> </w:t>
      </w:r>
    </w:p>
    <w:p w14:paraId="7EDCD7B2">
      <w:pPr>
        <w:pStyle w:val="24"/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Сумма выплат социальной помощи на одного получателя, по сравнению с 2023 годом выросла на 67,9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% и составила 27 212,4 рублей. </w:t>
      </w:r>
    </w:p>
    <w:p w14:paraId="5DA302A3">
      <w:pPr>
        <w:pStyle w:val="24"/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Доля детей в возрасте от 3-х до 7-ми лет, получающих дошкольную образовательную услугу, в общей численности данной возрастной группы составляет 93,97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%, что на 0,37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>
        <w:rPr>
          <w:rFonts w:hint="default"/>
          <w:sz w:val="28"/>
          <w:szCs w:val="28"/>
          <w:lang w:val="ru-RU"/>
        </w:rPr>
        <w:t>.п.</w:t>
      </w:r>
      <w:r>
        <w:rPr>
          <w:sz w:val="28"/>
          <w:szCs w:val="28"/>
          <w:lang w:val="ru-RU"/>
        </w:rPr>
        <w:t xml:space="preserve"> выше уровня прошлого года. Увеличение произошло в</w:t>
      </w:r>
      <w:r>
        <w:rPr>
          <w:rFonts w:hint="default"/>
          <w:sz w:val="28"/>
          <w:szCs w:val="28"/>
          <w:lang w:val="ru-RU"/>
        </w:rPr>
        <w:t xml:space="preserve"> связи со снижением</w:t>
      </w:r>
      <w:r>
        <w:rPr>
          <w:sz w:val="28"/>
          <w:szCs w:val="28"/>
          <w:lang w:val="ru-RU"/>
        </w:rPr>
        <w:t xml:space="preserve"> общего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количества детей данного возраста, при этом незначительно увеличилось количество детей от 3 до 7 лет, посещающих детский сад. Доступность дошкольного образования в возрасте от 3 до 7 лет составляет 100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%. Данный показатель соответствует показателю прошлого года.</w:t>
      </w:r>
    </w:p>
    <w:p w14:paraId="1E9C4E50">
      <w:pPr>
        <w:pStyle w:val="24"/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Доля детей в возрасте 7-15 лет, обучающихся в общеобразовательных школах, от общей численности детей данной возрастной категории – в 2024 году составила 97,56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%, что на 0,84</w:t>
      </w:r>
      <w:r>
        <w:rPr>
          <w:rFonts w:hint="default"/>
          <w:sz w:val="28"/>
          <w:szCs w:val="28"/>
          <w:lang w:val="ru-RU"/>
        </w:rPr>
        <w:t xml:space="preserve"> п.п </w:t>
      </w:r>
      <w:r>
        <w:rPr>
          <w:sz w:val="28"/>
          <w:szCs w:val="28"/>
          <w:lang w:val="ru-RU"/>
        </w:rPr>
        <w:t xml:space="preserve"> меньше, чем в 2023 году.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Снижение </w:t>
      </w:r>
      <w:r>
        <w:rPr>
          <w:rFonts w:hint="default"/>
          <w:sz w:val="28"/>
          <w:szCs w:val="28"/>
          <w:lang w:val="ru-RU"/>
        </w:rPr>
        <w:t xml:space="preserve"> показателя </w:t>
      </w:r>
      <w:r>
        <w:rPr>
          <w:sz w:val="28"/>
          <w:szCs w:val="28"/>
          <w:lang w:val="ru-RU"/>
        </w:rPr>
        <w:t xml:space="preserve">произошло </w:t>
      </w:r>
      <w:r>
        <w:rPr>
          <w:rFonts w:hint="default"/>
          <w:sz w:val="28"/>
          <w:szCs w:val="28"/>
          <w:lang w:val="ru-RU"/>
        </w:rPr>
        <w:t xml:space="preserve"> в результате увеличения числа несовершеннолетних</w:t>
      </w:r>
      <w:r>
        <w:rPr>
          <w:sz w:val="28"/>
          <w:szCs w:val="28"/>
          <w:lang w:val="ru-RU"/>
        </w:rPr>
        <w:t>, получающих основное общее образование вне образовательных организаций (семейное образование). Кроме того, увеличилась доля подростков, получающих профессиональное образование после окончания 9 класса.</w:t>
      </w:r>
    </w:p>
    <w:p w14:paraId="7E8A7E3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napToGrid w:val="0"/>
          <w:sz w:val="28"/>
          <w:szCs w:val="28"/>
        </w:rPr>
        <w:t>Доля детей, охваченных дополнительным образованием, в общем количестве детей до 18-ти лет  в 2024 г. по сравнению с 2023 г. снизилась на 0,51</w:t>
      </w:r>
      <w:r>
        <w:rPr>
          <w:rFonts w:hint="default"/>
          <w:snapToGrid w:val="0"/>
          <w:sz w:val="28"/>
          <w:szCs w:val="28"/>
          <w:lang w:val="ru-RU"/>
        </w:rPr>
        <w:t xml:space="preserve"> п.п </w:t>
      </w:r>
      <w:r>
        <w:rPr>
          <w:snapToGrid w:val="0"/>
          <w:sz w:val="28"/>
          <w:szCs w:val="28"/>
        </w:rPr>
        <w:t xml:space="preserve"> и составила 99,49</w:t>
      </w:r>
      <w:r>
        <w:rPr>
          <w:rFonts w:hint="default"/>
          <w:snapToGrid w:val="0"/>
          <w:sz w:val="28"/>
          <w:szCs w:val="28"/>
          <w:lang w:val="ru-RU"/>
        </w:rPr>
        <w:t xml:space="preserve"> </w:t>
      </w:r>
      <w:r>
        <w:rPr>
          <w:snapToGrid w:val="0"/>
          <w:sz w:val="28"/>
          <w:szCs w:val="28"/>
        </w:rPr>
        <w:t xml:space="preserve">%. </w:t>
      </w:r>
    </w:p>
    <w:p w14:paraId="2198AFBA">
      <w:pPr>
        <w:ind w:firstLine="709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7B525A4"/>
    <w:multiLevelType w:val="multilevel"/>
    <w:tmpl w:val="17B525A4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88"/>
    <w:rsid w:val="00065CAC"/>
    <w:rsid w:val="00080CC6"/>
    <w:rsid w:val="00155A34"/>
    <w:rsid w:val="00196507"/>
    <w:rsid w:val="001B05DD"/>
    <w:rsid w:val="0020078F"/>
    <w:rsid w:val="00222D38"/>
    <w:rsid w:val="002A6FD1"/>
    <w:rsid w:val="002C5A54"/>
    <w:rsid w:val="00304BFD"/>
    <w:rsid w:val="00306D05"/>
    <w:rsid w:val="003F7CCB"/>
    <w:rsid w:val="00446B3A"/>
    <w:rsid w:val="00480A08"/>
    <w:rsid w:val="004F4D9E"/>
    <w:rsid w:val="005110C4"/>
    <w:rsid w:val="00545A0D"/>
    <w:rsid w:val="0055268C"/>
    <w:rsid w:val="0064307C"/>
    <w:rsid w:val="00720697"/>
    <w:rsid w:val="00740547"/>
    <w:rsid w:val="009660CC"/>
    <w:rsid w:val="009D5E8B"/>
    <w:rsid w:val="00A105FB"/>
    <w:rsid w:val="00BE39F9"/>
    <w:rsid w:val="00C1584A"/>
    <w:rsid w:val="00C17A29"/>
    <w:rsid w:val="00C64F69"/>
    <w:rsid w:val="00CF0AB5"/>
    <w:rsid w:val="00E96BFA"/>
    <w:rsid w:val="00EA3688"/>
    <w:rsid w:val="00EC1108"/>
    <w:rsid w:val="00EC65E8"/>
    <w:rsid w:val="00F31B8A"/>
    <w:rsid w:val="00F90EE0"/>
    <w:rsid w:val="039B74D3"/>
    <w:rsid w:val="047841E6"/>
    <w:rsid w:val="321D53D8"/>
    <w:rsid w:val="5811665F"/>
    <w:rsid w:val="5B776411"/>
    <w:rsid w:val="678F1B08"/>
    <w:rsid w:val="757909A7"/>
    <w:rsid w:val="764748F3"/>
    <w:rsid w:val="77B80B8E"/>
    <w:rsid w:val="7C49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iPriority="0" w:name="Body Text Indent 2"/>
    <w:lsdException w:uiPriority="99" w:name="Body Text Indent 3"/>
    <w:lsdException w:qFormat="1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paragraph" w:styleId="6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23"/>
    <w:unhideWhenUsed/>
    <w:qFormat/>
    <w:uiPriority w:val="0"/>
    <w:pPr>
      <w:spacing w:after="120" w:line="480" w:lineRule="auto"/>
    </w:p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9"/>
    <w:qFormat/>
    <w:uiPriority w:val="0"/>
    <w:pPr>
      <w:jc w:val="both"/>
    </w:pPr>
    <w:rPr>
      <w:szCs w:val="20"/>
    </w:rPr>
  </w:style>
  <w:style w:type="paragraph" w:styleId="10">
    <w:name w:val="Body Text Indent"/>
    <w:basedOn w:val="1"/>
    <w:link w:val="21"/>
    <w:semiHidden/>
    <w:unhideWhenUsed/>
    <w:qFormat/>
    <w:uiPriority w:val="0"/>
    <w:pPr>
      <w:spacing w:after="120"/>
      <w:ind w:left="283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3">
    <w:name w:val="Body Text Indent 2"/>
    <w:basedOn w:val="1"/>
    <w:link w:val="22"/>
    <w:semiHidden/>
    <w:unhideWhenUsed/>
    <w:qFormat/>
    <w:uiPriority w:val="0"/>
    <w:pPr>
      <w:spacing w:after="120" w:line="480" w:lineRule="auto"/>
      <w:ind w:left="283"/>
    </w:pPr>
  </w:style>
  <w:style w:type="paragraph" w:styleId="14">
    <w:name w:val="Block Text"/>
    <w:basedOn w:val="1"/>
    <w:unhideWhenUsed/>
    <w:qFormat/>
    <w:uiPriority w:val="0"/>
    <w:pPr>
      <w:ind w:left="-340" w:right="-737" w:firstLine="720"/>
      <w:jc w:val="both"/>
    </w:pPr>
    <w:rPr>
      <w:rFonts w:ascii="Arial" w:hAnsi="Arial"/>
      <w:szCs w:val="20"/>
    </w:rPr>
  </w:style>
  <w:style w:type="paragraph" w:styleId="15">
    <w:name w:val="List Paragraph"/>
    <w:basedOn w:val="1"/>
    <w:qFormat/>
    <w:uiPriority w:val="0"/>
    <w:pPr>
      <w:ind w:left="720"/>
      <w:contextualSpacing/>
    </w:pPr>
  </w:style>
  <w:style w:type="character" w:customStyle="1" w:styleId="16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7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0">
    <w:name w:val="markedcontent"/>
    <w:basedOn w:val="3"/>
    <w:qFormat/>
    <w:uiPriority w:val="0"/>
  </w:style>
  <w:style w:type="character" w:customStyle="1" w:styleId="21">
    <w:name w:val="Основной текст с отступом Знак"/>
    <w:basedOn w:val="3"/>
    <w:link w:val="10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3"/>
    <w:link w:val="13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3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Обычный2 Знак"/>
    <w:link w:val="2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en-US" w:eastAsia="ru-RU" w:bidi="ar-SA"/>
    </w:rPr>
  </w:style>
  <w:style w:type="character" w:customStyle="1" w:styleId="25">
    <w:name w:val="Обычный2 Знак Знак"/>
    <w:link w:val="24"/>
    <w:qFormat/>
    <w:uiPriority w:val="0"/>
    <w:rPr>
      <w:rFonts w:ascii="Times New Roman" w:hAnsi="Times New Roman" w:eastAsia="Times New Roman" w:cs="Times New Roman"/>
      <w:snapToGrid w:val="0"/>
      <w:sz w:val="20"/>
      <w:szCs w:val="20"/>
      <w:lang w:val="en-US" w:eastAsia="ru-RU"/>
    </w:rPr>
  </w:style>
  <w:style w:type="character" w:customStyle="1" w:styleId="26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customStyle="1" w:styleId="2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8">
    <w:name w:val="Основной текст 21"/>
    <w:basedOn w:val="1"/>
    <w:qFormat/>
    <w:uiPriority w:val="0"/>
    <w:pPr>
      <w:widowControl w:val="0"/>
      <w:suppressAutoHyphens/>
      <w:spacing w:after="120" w:line="480" w:lineRule="auto"/>
    </w:pPr>
    <w:rPr>
      <w:rFonts w:ascii="Arial" w:hAnsi="Arial" w:eastAsia="Arial Unicode MS"/>
      <w:kern w:val="1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1474</Words>
  <Characters>8408</Characters>
  <Lines>70</Lines>
  <Paragraphs>19</Paragraphs>
  <TotalTime>28</TotalTime>
  <ScaleCrop>false</ScaleCrop>
  <LinksUpToDate>false</LinksUpToDate>
  <CharactersWithSpaces>9863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2023-03-29T09:58:00Z</dcterms:created>
  <dc:creator>User</dc:creator>
  <cp:lastModifiedBy>User</cp:lastModifiedBy>
  <cp:lastPrinted>2025-04-18T08:00:16Z</cp:lastPrinted>
  <dcterms:modified xsi:type="dcterms:W3CDTF">2025-04-18T08:04:16Z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793255E2F48C4EB3B41D0C0578A9E257_13</vt:lpwstr>
  </property>
</Properties>
</file>