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2D" w:rsidRPr="00F12D6A" w:rsidRDefault="0038012D" w:rsidP="00380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D6A">
        <w:rPr>
          <w:rFonts w:ascii="Times New Roman" w:hAnsi="Times New Roman" w:cs="Times New Roman"/>
          <w:b/>
          <w:sz w:val="24"/>
          <w:szCs w:val="24"/>
        </w:rPr>
        <w:t xml:space="preserve">ПАМЯТКА РАБОТОДАТЕЛЮ </w:t>
      </w:r>
    </w:p>
    <w:p w:rsidR="00FA4D2E" w:rsidRPr="0038012D" w:rsidRDefault="0038012D" w:rsidP="0038012D">
      <w:pPr>
        <w:rPr>
          <w:rFonts w:ascii="Times New Roman" w:hAnsi="Times New Roman" w:cs="Times New Roman"/>
          <w:sz w:val="24"/>
          <w:szCs w:val="24"/>
        </w:rPr>
      </w:pPr>
      <w:r w:rsidRPr="0038012D">
        <w:rPr>
          <w:rFonts w:ascii="Times New Roman" w:hAnsi="Times New Roman" w:cs="Times New Roman"/>
          <w:sz w:val="24"/>
          <w:szCs w:val="24"/>
        </w:rPr>
        <w:t>о мерах ответственности за нарушение норм трудового законодательства, в том числе в части не оформления либо ненадлежащего оформления трудовых отношений с работником</w:t>
      </w:r>
    </w:p>
    <w:p w:rsidR="0038012D" w:rsidRPr="0038012D" w:rsidRDefault="0038012D" w:rsidP="0038012D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8012D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56822FA6" wp14:editId="5B6AC8D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2105025"/>
            <wp:effectExtent l="0" t="0" r="0" b="9525"/>
            <wp:wrapSquare wrapText="bothSides"/>
            <wp:docPr id="1" name="Рисунок 1" descr="https://xn--90awgj.xn--p1ai/wp-content/uploads/2022/12/ng8mm6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wgj.xn--p1ai/wp-content/uploads/2022/12/ng8mm6j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38012D">
        <w:rPr>
          <w:rFonts w:ascii="Times New Roman" w:hAnsi="Times New Roman" w:cs="Times New Roman"/>
          <w:color w:val="000000" w:themeColor="text1"/>
          <w:sz w:val="21"/>
          <w:szCs w:val="21"/>
        </w:rPr>
        <w:t>Трудовые отношения возникают между работником и работодателем на основании трудового договора, заключение которого </w:t>
      </w:r>
      <w:r w:rsidRPr="0038012D">
        <w:rPr>
          <w:rStyle w:val="a6"/>
          <w:rFonts w:ascii="Times New Roman" w:hAnsi="Times New Roman" w:cs="Times New Roman"/>
          <w:color w:val="000000" w:themeColor="text1"/>
          <w:sz w:val="21"/>
          <w:szCs w:val="21"/>
        </w:rPr>
        <w:t>является обязательным условием</w:t>
      </w:r>
      <w:r w:rsidRPr="0038012D">
        <w:rPr>
          <w:rFonts w:ascii="Times New Roman" w:hAnsi="Times New Roman" w:cs="Times New Roman"/>
          <w:color w:val="000000" w:themeColor="text1"/>
          <w:sz w:val="21"/>
          <w:szCs w:val="21"/>
        </w:rPr>
        <w:t> при приеме на работу (статья 16 Трудового кодекса Российской Федерации (далее – ТК РФ).</w:t>
      </w:r>
      <w:proofErr w:type="gramEnd"/>
    </w:p>
    <w:p w:rsidR="0038012D" w:rsidRDefault="0038012D" w:rsidP="0038012D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proofErr w:type="gramStart"/>
      <w:r w:rsidRPr="0038012D">
        <w:rPr>
          <w:color w:val="000000" w:themeColor="text1"/>
          <w:sz w:val="21"/>
          <w:szCs w:val="21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38012D">
        <w:rPr>
          <w:color w:val="000000" w:themeColor="text1"/>
          <w:sz w:val="21"/>
          <w:szCs w:val="21"/>
        </w:rPr>
        <w:t xml:space="preserve">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38012D" w:rsidRPr="0038012D" w:rsidRDefault="0038012D" w:rsidP="00F12D6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38012D">
        <w:rPr>
          <w:color w:val="000000" w:themeColor="text1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второго экземпляра договора.</w:t>
      </w:r>
    </w:p>
    <w:p w:rsidR="0038012D" w:rsidRPr="0038012D" w:rsidRDefault="0038012D" w:rsidP="00F12D6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38012D">
        <w:rPr>
          <w:color w:val="000000" w:themeColor="text1"/>
        </w:rPr>
        <w:t>Не допускается заключение гражданско-правовых договоров, фактически регулирующих трудовые отношения между работником и работодателем (часть 2 статьи 15 ТК РФ).</w:t>
      </w:r>
    </w:p>
    <w:p w:rsidR="0038012D" w:rsidRPr="0038012D" w:rsidRDefault="0038012D" w:rsidP="00F12D6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38012D">
        <w:rPr>
          <w:color w:val="000000" w:themeColor="text1"/>
        </w:rPr>
        <w:t>В случае если договор гражданско-правового характера содержит признаки трудовых отношений: имеется подчинение работника режиму работы организации, определены должностные обязанности, установлено конкретное место работы, такой договор признается  трудовым.</w:t>
      </w:r>
    </w:p>
    <w:p w:rsidR="0038012D" w:rsidRPr="0038012D" w:rsidRDefault="0038012D" w:rsidP="00F12D6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38012D">
        <w:rPr>
          <w:color w:val="000000" w:themeColor="text1"/>
        </w:rPr>
        <w:t>В соответствии с Кодексом Российской Федерации об административных правонарушениях (далее – КоАП РФ) предусмотрена ответственность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38012D" w:rsidRPr="0038012D" w:rsidRDefault="0038012D" w:rsidP="00F12D6A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</w:rPr>
      </w:pPr>
      <w:proofErr w:type="gramStart"/>
      <w:r w:rsidRPr="0038012D">
        <w:rPr>
          <w:color w:val="000000" w:themeColor="text1"/>
        </w:rPr>
        <w:t>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  <w:proofErr w:type="gramEnd"/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 части 1 статьи 5.27 КоАП РФ: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lastRenderedPageBreak/>
        <w:t>Нарушение трудового </w:t>
      </w:r>
      <w:hyperlink r:id="rId6" w:history="1">
        <w:r w:rsidRPr="0038012D">
          <w:rPr>
            <w:rStyle w:val="a7"/>
            <w:color w:val="000000" w:themeColor="text1"/>
          </w:rPr>
          <w:t>законодательства</w:t>
        </w:r>
      </w:hyperlink>
      <w:r w:rsidRPr="0038012D">
        <w:rPr>
          <w:color w:val="000000" w:themeColor="text1"/>
        </w:rPr>
        <w:t> и иных нормативных правовых актов, содержащих нормы трудового права, влечет предупреждение или наложение административного штрафа: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должностных лиц в размере от одной тысячи до пяти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лиц, осуществляющих предпринимательскую деятельность без образования юридического лица, – от одной тысячи до пяти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юридических лиц – от тридцати тысяч до пятидесяти тысяч рублей.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 части 2 статьи 5.27 КоАП РФ: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Совершение административного правонарушения, предусмотренного</w:t>
      </w:r>
      <w:r w:rsidRPr="0038012D">
        <w:rPr>
          <w:color w:val="000000" w:themeColor="text1"/>
        </w:rPr>
        <w:br/>
      </w:r>
      <w:hyperlink r:id="rId7" w:history="1">
        <w:r w:rsidRPr="0038012D">
          <w:rPr>
            <w:rStyle w:val="a7"/>
            <w:color w:val="000000" w:themeColor="text1"/>
          </w:rPr>
          <w:t>частью 1</w:t>
        </w:r>
      </w:hyperlink>
      <w:r w:rsidRPr="0038012D">
        <w:rPr>
          <w:color w:val="000000" w:themeColor="text1"/>
        </w:rPr>
        <w:t> статьи 5.27 КоАП РФ, лицом, ранее подвергнутым административному наказанию за </w:t>
      </w:r>
      <w:hyperlink r:id="rId8" w:history="1">
        <w:r w:rsidRPr="0038012D">
          <w:rPr>
            <w:rStyle w:val="a7"/>
            <w:color w:val="000000" w:themeColor="text1"/>
          </w:rPr>
          <w:t>аналогичное</w:t>
        </w:r>
      </w:hyperlink>
      <w:r w:rsidRPr="0038012D">
        <w:rPr>
          <w:color w:val="000000" w:themeColor="text1"/>
        </w:rPr>
        <w:t> административное правонарушение, влечет наложение административного штрафа: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должностных лиц в размере от десяти тысяч до двадцати тысяч рублей или дисквалификацию на срок от одного года до трех лет;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лиц, осуществляющих предпринимательскую деятельность без образования юридического лица, – от десяти тысяч до двадцати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юридических лиц – от пятидесяти тысяч до семидесяти тысяч рублей.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 части 3 статьи 5.27 КоАП РФ: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граждан в размере от трех тысяч до пяти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должностных лиц – от десяти тысяч до двадцати тысяч рублей.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 части 4 статьи 5.27 КоАП РФ: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Уклонение от оформления или ненадлежащее оформление трудового договора либо </w:t>
      </w:r>
      <w:hyperlink r:id="rId9" w:history="1">
        <w:r w:rsidRPr="0038012D">
          <w:rPr>
            <w:rStyle w:val="a7"/>
            <w:color w:val="000000" w:themeColor="text1"/>
          </w:rPr>
          <w:t>заключение</w:t>
        </w:r>
      </w:hyperlink>
      <w:r w:rsidRPr="0038012D">
        <w:rPr>
          <w:color w:val="000000" w:themeColor="text1"/>
        </w:rPr>
        <w:t> 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должностных лиц в размере от десяти тысяч до двадцати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лиц, осуществляющих предпринимательскую деятельность без образования юридического лица, – от пяти тысяч до десяти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юридических лиц – от пятидесяти тысяч до ста тысяч рублей.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 части 5 статьи 5.27 КоАП РФ: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Совершение административных правонарушений, предусмотренных </w:t>
      </w:r>
      <w:hyperlink r:id="rId10" w:anchor="Par4" w:history="1">
        <w:r w:rsidRPr="0038012D">
          <w:rPr>
            <w:rStyle w:val="a7"/>
            <w:color w:val="000000" w:themeColor="text1"/>
          </w:rPr>
          <w:t>частью 3</w:t>
        </w:r>
      </w:hyperlink>
      <w:r w:rsidRPr="0038012D">
        <w:rPr>
          <w:color w:val="000000" w:themeColor="text1"/>
        </w:rPr>
        <w:t> или </w:t>
      </w:r>
      <w:hyperlink r:id="rId11" w:anchor="Par6" w:history="1">
        <w:r w:rsidRPr="0038012D">
          <w:rPr>
            <w:rStyle w:val="a7"/>
            <w:color w:val="000000" w:themeColor="text1"/>
          </w:rPr>
          <w:t>4</w:t>
        </w:r>
      </w:hyperlink>
      <w:r w:rsidRPr="0038012D">
        <w:rPr>
          <w:color w:val="000000" w:themeColor="text1"/>
        </w:rPr>
        <w:t> статьи 5.27 КоАП РФ,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граждан в размере пяти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должностных лиц – дисквалификацию на срок от одного года до трех лет;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lastRenderedPageBreak/>
        <w:t>на лиц, осуществляющих предпринимательскую деятельность без образования юридического лица, – от тридцати тысяч до сорока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юридических лиц – от ста тысяч до двухсот тысяч рублей.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 части 6 статьи 5.27 КоАП РФ: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 </w:t>
      </w:r>
      <w:hyperlink r:id="rId12" w:history="1">
        <w:r w:rsidRPr="0038012D">
          <w:rPr>
            <w:rStyle w:val="a7"/>
            <w:color w:val="000000" w:themeColor="text1"/>
          </w:rPr>
          <w:t>деяния</w:t>
        </w:r>
      </w:hyperlink>
      <w:r w:rsidRPr="0038012D">
        <w:rPr>
          <w:color w:val="000000" w:themeColor="text1"/>
        </w:rPr>
        <w:t>, либо установление заработной платы в размере менее </w:t>
      </w:r>
      <w:hyperlink r:id="rId13" w:history="1">
        <w:r w:rsidRPr="0038012D">
          <w:rPr>
            <w:rStyle w:val="a7"/>
            <w:color w:val="000000" w:themeColor="text1"/>
          </w:rPr>
          <w:t>размера</w:t>
        </w:r>
      </w:hyperlink>
      <w:r w:rsidRPr="0038012D">
        <w:rPr>
          <w:color w:val="000000" w:themeColor="text1"/>
        </w:rPr>
        <w:t>, предусмотренного трудовым законодательством, влечет предупреждение или наложение административного штрафа: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должностных лиц в размере от десяти тысяч до двадцати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лиц, осуществляющих предпринимательскую деятельность без образования юридического лица, – от одной тысячи до пяти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юридических лиц – от тридцати тысяч до пятидесяти тысяч рублей.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 части 7 статьи 5.27 КоАП РФ: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Совершение административного правонарушения, предусмотренного </w:t>
      </w:r>
      <w:hyperlink r:id="rId14" w:anchor="Par10" w:history="1">
        <w:r w:rsidRPr="0038012D">
          <w:rPr>
            <w:rStyle w:val="a7"/>
            <w:color w:val="000000" w:themeColor="text1"/>
          </w:rPr>
          <w:t>частью 6</w:t>
        </w:r>
      </w:hyperlink>
      <w:r w:rsidRPr="0038012D">
        <w:rPr>
          <w:color w:val="000000" w:themeColor="text1"/>
        </w:rPr>
        <w:t> статьи 5.27 КоАП РФ, лицом, ранее подвергнутым административному наказанию за аналогичное правонарушение, если эти действия не содержат уголовно наказуемого деяния, влечет наложение административного штрафа: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должностных лиц в размере от двадцати тысяч до тридцати тысяч рублей или дисквалификацию на срок от одного года до трех лет;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лиц, осуществляющих предпринимательскую деятельность без образования юридического лица, – от десяти тысяч до тридцати тысяч рублей;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на юридических лиц – от пятидесяти тысяч до ста тысяч рублей.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 статье 26.29 Федерального закона от 24 июля 1998 года № 125</w:t>
      </w:r>
      <w:r w:rsidRPr="0038012D">
        <w:rPr>
          <w:color w:val="000000" w:themeColor="text1"/>
          <w:u w:val="single"/>
        </w:rPr>
        <w:noBreakHyphen/>
        <w:t>ФЗ «Об обязательном социальном страховании от несчастных случаев на производстве и профессиональных заболеваний»</w:t>
      </w:r>
      <w:r w:rsidRPr="0038012D">
        <w:rPr>
          <w:color w:val="000000" w:themeColor="text1"/>
        </w:rPr>
        <w:t>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gramStart"/>
      <w:r w:rsidRPr="0038012D">
        <w:rPr>
          <w:color w:val="000000" w:themeColor="text1"/>
        </w:rPr>
        <w:t>Неуплата или неполная уплата сумм страховых взносов в результате занижения облагаемой базы для начисления страховых взносов, иного неправильного исчисления сумм страховых взносов или других неправомерных действий (бездействия) влечет взыскание штрафа в размере 20 процентов причитающейся к уплате суммы страховых взносов, а умышленное совершение указанных деяний – в размере 40 процентов причитающейся к уплате суммы страховых взносов.</w:t>
      </w:r>
      <w:proofErr w:type="gramEnd"/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 части 1 статьи 123 Налогового кодекса Российской Федерации (далее – НК РФ):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 xml:space="preserve">Неправомерное </w:t>
      </w:r>
      <w:proofErr w:type="spellStart"/>
      <w:r w:rsidRPr="0038012D">
        <w:rPr>
          <w:color w:val="000000" w:themeColor="text1"/>
        </w:rPr>
        <w:t>неудержание</w:t>
      </w:r>
      <w:proofErr w:type="spellEnd"/>
      <w:r w:rsidRPr="0038012D">
        <w:rPr>
          <w:color w:val="000000" w:themeColor="text1"/>
        </w:rPr>
        <w:t xml:space="preserve"> и (или) </w:t>
      </w:r>
      <w:proofErr w:type="spellStart"/>
      <w:r w:rsidRPr="0038012D">
        <w:rPr>
          <w:color w:val="000000" w:themeColor="text1"/>
        </w:rPr>
        <w:t>неперечисление</w:t>
      </w:r>
      <w:proofErr w:type="spellEnd"/>
      <w:r w:rsidRPr="0038012D">
        <w:rPr>
          <w:color w:val="000000" w:themeColor="text1"/>
        </w:rPr>
        <w:t xml:space="preserve"> (неполное удержание и (или) перечисление) в установленный НК РФ срок сумм налога, подлежащего удержанию и перечислению налоговым агентом, – влечет взыскание штрафа в размере 20 процентов от суммы, подлежащей удержанию и (или) перечислению.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  части 1 статьи 199</w:t>
      </w:r>
      <w:r w:rsidRPr="0038012D">
        <w:rPr>
          <w:color w:val="000000" w:themeColor="text1"/>
          <w:u w:val="single"/>
          <w:vertAlign w:val="superscript"/>
        </w:rPr>
        <w:t>1</w:t>
      </w:r>
      <w:r w:rsidRPr="0038012D">
        <w:rPr>
          <w:color w:val="000000" w:themeColor="text1"/>
          <w:u w:val="single"/>
        </w:rPr>
        <w:t> Уголовного кодекса Российской Федерации (далее – УК РФ):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Неисполнение в </w:t>
      </w:r>
      <w:hyperlink r:id="rId15" w:history="1">
        <w:r w:rsidRPr="0038012D">
          <w:rPr>
            <w:rStyle w:val="a7"/>
            <w:color w:val="000000" w:themeColor="text1"/>
          </w:rPr>
          <w:t>личных интересах</w:t>
        </w:r>
      </w:hyperlink>
      <w:r w:rsidRPr="0038012D">
        <w:rPr>
          <w:color w:val="000000" w:themeColor="text1"/>
        </w:rPr>
        <w:t> обязанностей </w:t>
      </w:r>
      <w:hyperlink r:id="rId16" w:history="1">
        <w:r w:rsidRPr="0038012D">
          <w:rPr>
            <w:rStyle w:val="a7"/>
            <w:color w:val="000000" w:themeColor="text1"/>
          </w:rPr>
          <w:t>налогового агента</w:t>
        </w:r>
      </w:hyperlink>
      <w:r w:rsidRPr="0038012D">
        <w:rPr>
          <w:color w:val="000000" w:themeColor="text1"/>
        </w:rPr>
        <w:t> по исчислению, удержанию или перечислению налогов и (или) </w:t>
      </w:r>
      <w:hyperlink r:id="rId17" w:history="1">
        <w:r w:rsidRPr="0038012D">
          <w:rPr>
            <w:rStyle w:val="a7"/>
            <w:color w:val="000000" w:themeColor="text1"/>
          </w:rPr>
          <w:t>сборов</w:t>
        </w:r>
      </w:hyperlink>
      <w:r w:rsidRPr="0038012D">
        <w:rPr>
          <w:color w:val="000000" w:themeColor="text1"/>
        </w:rPr>
        <w:t xml:space="preserve">, подлежащих в соответствии с законодательством Российской Федерации о налогах и сборах исчислению, удержанию у </w:t>
      </w:r>
      <w:r w:rsidRPr="0038012D">
        <w:rPr>
          <w:color w:val="000000" w:themeColor="text1"/>
        </w:rPr>
        <w:lastRenderedPageBreak/>
        <w:t>налогоплательщика и перечислению в соответствующий бюджет, совершенное в крупном размере,</w:t>
      </w:r>
    </w:p>
    <w:p w:rsidR="004A5678" w:rsidRDefault="004A5678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gramStart"/>
      <w:r w:rsidRPr="004A5678">
        <w:rPr>
          <w:color w:val="000000" w:themeColor="text1"/>
        </w:rPr>
        <w:t>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арестом на срок до шести</w:t>
      </w:r>
      <w:proofErr w:type="gramEnd"/>
      <w:r w:rsidRPr="004A5678">
        <w:rPr>
          <w:color w:val="000000" w:themeColor="text1"/>
        </w:rPr>
        <w:t xml:space="preserve"> месяцев,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  <w:u w:val="single"/>
        </w:rPr>
        <w:t>Согласно  части 2 статьи 199</w:t>
      </w:r>
      <w:r w:rsidRPr="0038012D">
        <w:rPr>
          <w:color w:val="000000" w:themeColor="text1"/>
          <w:u w:val="single"/>
          <w:vertAlign w:val="superscript"/>
        </w:rPr>
        <w:t>1</w:t>
      </w:r>
      <w:r w:rsidRPr="0038012D">
        <w:rPr>
          <w:color w:val="000000" w:themeColor="text1"/>
          <w:u w:val="single"/>
        </w:rPr>
        <w:t> УК РФ:</w:t>
      </w:r>
    </w:p>
    <w:p w:rsidR="0038012D" w:rsidRPr="0038012D" w:rsidRDefault="0038012D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8012D">
        <w:rPr>
          <w:color w:val="000000" w:themeColor="text1"/>
        </w:rPr>
        <w:t>То же деяние, совершенное в особо крупном размере,</w:t>
      </w:r>
    </w:p>
    <w:p w:rsidR="004A5678" w:rsidRDefault="004A5678" w:rsidP="0038012D">
      <w:pPr>
        <w:pStyle w:val="a5"/>
        <w:shd w:val="clear" w:color="auto" w:fill="FFFFFF"/>
        <w:spacing w:before="0" w:beforeAutospacing="0" w:after="150" w:afterAutospacing="0"/>
        <w:jc w:val="both"/>
        <w:rPr>
          <w:rStyle w:val="a8"/>
          <w:i w:val="0"/>
          <w:iCs w:val="0"/>
          <w:color w:val="000000" w:themeColor="text1"/>
        </w:rPr>
      </w:pPr>
      <w:proofErr w:type="gramStart"/>
      <w:r w:rsidRPr="004A5678">
        <w:rPr>
          <w:color w:val="000000" w:themeColor="text1"/>
        </w:rPr>
        <w:t>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пяти</w:t>
      </w:r>
      <w:proofErr w:type="gramEnd"/>
      <w:r w:rsidRPr="004A5678">
        <w:rPr>
          <w:color w:val="000000" w:themeColor="text1"/>
        </w:rPr>
        <w:t xml:space="preserve"> лет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4A5678">
        <w:rPr>
          <w:rStyle w:val="a8"/>
          <w:i w:val="0"/>
          <w:iCs w:val="0"/>
          <w:color w:val="000000" w:themeColor="text1"/>
        </w:rPr>
        <w:t xml:space="preserve"> </w:t>
      </w:r>
    </w:p>
    <w:p w:rsidR="004A5678" w:rsidRDefault="004A5678" w:rsidP="004A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Крупным размером в настоящей статье признается сумма налогов и (или) сборов, превышающая за период в пределах трех финансовых лет подряд восемнадцать миллионов семьсот пятьдесят тысяч рублей, особо крупным размером - сумма, превышающая за период в пределах трех финансовых лет подряд пятьдесят шесть миллионов двести пятьдесят тысяч рублей.</w:t>
      </w:r>
    </w:p>
    <w:p w:rsidR="0038012D" w:rsidRPr="0038012D" w:rsidRDefault="004A5678" w:rsidP="003801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A5678">
        <w:rPr>
          <w:rStyle w:val="a8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8012D" w:rsidRPr="0038012D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sectPr w:rsidR="0038012D" w:rsidRPr="0038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2D"/>
    <w:rsid w:val="0015381D"/>
    <w:rsid w:val="0038012D"/>
    <w:rsid w:val="004A5678"/>
    <w:rsid w:val="00647BAF"/>
    <w:rsid w:val="00F12D6A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12D"/>
    <w:rPr>
      <w:b/>
      <w:bCs/>
    </w:rPr>
  </w:style>
  <w:style w:type="character" w:styleId="a7">
    <w:name w:val="Hyperlink"/>
    <w:basedOn w:val="a0"/>
    <w:uiPriority w:val="99"/>
    <w:semiHidden/>
    <w:unhideWhenUsed/>
    <w:rsid w:val="0038012D"/>
    <w:rPr>
      <w:color w:val="0000FF"/>
      <w:u w:val="single"/>
    </w:rPr>
  </w:style>
  <w:style w:type="character" w:styleId="a8">
    <w:name w:val="Emphasis"/>
    <w:basedOn w:val="a0"/>
    <w:uiPriority w:val="20"/>
    <w:qFormat/>
    <w:rsid w:val="003801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1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12D"/>
    <w:rPr>
      <w:b/>
      <w:bCs/>
    </w:rPr>
  </w:style>
  <w:style w:type="character" w:styleId="a7">
    <w:name w:val="Hyperlink"/>
    <w:basedOn w:val="a0"/>
    <w:uiPriority w:val="99"/>
    <w:semiHidden/>
    <w:unhideWhenUsed/>
    <w:rsid w:val="0038012D"/>
    <w:rPr>
      <w:color w:val="0000FF"/>
      <w:u w:val="single"/>
    </w:rPr>
  </w:style>
  <w:style w:type="character" w:styleId="a8">
    <w:name w:val="Emphasis"/>
    <w:basedOn w:val="a0"/>
    <w:uiPriority w:val="20"/>
    <w:qFormat/>
    <w:rsid w:val="00380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E8DDEB924EEF920BAB385CC3FD76A1FED8E308DBDC1918BC446E787041F4597CD592FEDFF9AB1Fa5o0A" TargetMode="External"/><Relationship Id="rId13" Type="http://schemas.openxmlformats.org/officeDocument/2006/relationships/hyperlink" Target="consultantplus://offline/ref=D4E8DDEB924EEF920BAB385CC3FD76A1FDDDE40CDFD31918BC446E787041F4597CD592FEDBFDaAo8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6F59F0F65081A935E3654EBFF156DF28D4AC4B58426FF11E77C65B599C6F7F0121A17E8BE8E215CF7C1146CD82906A009B795AF803BCNFJ" TargetMode="External"/><Relationship Id="rId12" Type="http://schemas.openxmlformats.org/officeDocument/2006/relationships/hyperlink" Target="consultantplus://offline/ref=D4E8DDEB924EEF920BAB385CC3FD76A1FDDCE708DBD21918BC446E787041F4597CD592FDDDaFo1A" TargetMode="External"/><Relationship Id="rId17" Type="http://schemas.openxmlformats.org/officeDocument/2006/relationships/hyperlink" Target="consultantplus://offline/ref=4744A4F59FC10631DCAD88FACAAD4A6DD2F62EBA60CB6E7D5F9CC3EAF6D82C723DFE8426E05D2EF11F4AEDD53CD4A104211564FB620BdFm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44A4F59FC10631DCAD88FACAAD4A6DD5F420BE64CC6E7D5F9CC3EAF6D82C723DFE8424E25B26F94F10FDD17581A41A290D7AFF7C0BF071dBm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E8DDEB924EEF920BAB385CC3FD76A1FDDDE40CDFD31918BC446E787041F4597CD592FEDFaFoEA" TargetMode="External"/><Relationship Id="rId11" Type="http://schemas.openxmlformats.org/officeDocument/2006/relationships/hyperlink" Target="https://xn--90awgj.xn--p1ai/news/2022/12/12712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744A4F59FC10631DCAD88FACAAD4A6DD5F420BE64CC6E7D5F9CC3EAF6D82C723DFE8424E25B26F94310FDD17581A41A290D7AFF7C0BF071dBmEJ" TargetMode="External"/><Relationship Id="rId10" Type="http://schemas.openxmlformats.org/officeDocument/2006/relationships/hyperlink" Target="https://xn--90awgj.xn--p1ai/news/2022/12/1271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E8DDEB924EEF920BAB385CC3FD76A1FDDDE40CDFD31918BC446E787041F4597CD592FEDFFBAF11a5oEA" TargetMode="External"/><Relationship Id="rId14" Type="http://schemas.openxmlformats.org/officeDocument/2006/relationships/hyperlink" Target="https://xn--90awgj.xn--p1ai/news/2022/12/127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2025-07-17T07:44:00Z</dcterms:created>
  <dcterms:modified xsi:type="dcterms:W3CDTF">2025-07-17T07:44:00Z</dcterms:modified>
</cp:coreProperties>
</file>