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87F" w:rsidRPr="0059287F" w:rsidRDefault="004D47EF" w:rsidP="0059287F">
      <w:pPr>
        <w:ind w:firstLine="720"/>
        <w:jc w:val="both"/>
        <w:rPr>
          <w:sz w:val="28"/>
        </w:rPr>
      </w:pPr>
      <w:r w:rsidRPr="001D6AC6">
        <w:rPr>
          <w:noProof/>
          <w:sz w:val="40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270E87FF" wp14:editId="738405D2">
                <wp:simplePos x="0" y="0"/>
                <wp:positionH relativeFrom="margin">
                  <wp:posOffset>-51435</wp:posOffset>
                </wp:positionH>
                <wp:positionV relativeFrom="page">
                  <wp:posOffset>3009900</wp:posOffset>
                </wp:positionV>
                <wp:extent cx="5866765" cy="1447800"/>
                <wp:effectExtent l="0" t="0" r="63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9287F" w:rsidRDefault="0059287F" w:rsidP="003566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287F" w:rsidRDefault="0059287F" w:rsidP="003566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287F" w:rsidRDefault="0059287F" w:rsidP="003566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287F" w:rsidRPr="0059287F" w:rsidRDefault="0059287F" w:rsidP="0059287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Pr="0059287F">
                              <w:rPr>
                                <w:sz w:val="28"/>
                                <w:szCs w:val="28"/>
                              </w:rPr>
                              <w:t>Прог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нозе социально-экономического развития города</w:t>
                            </w:r>
                            <w:r w:rsidRPr="0059287F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9287F"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</w:p>
                          <w:p w:rsidR="0059287F" w:rsidRPr="00B92BBC" w:rsidRDefault="0059287F" w:rsidP="0059287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9287F">
                              <w:rPr>
                                <w:sz w:val="28"/>
                                <w:szCs w:val="28"/>
                              </w:rPr>
                              <w:t>Новосибирской области на 2024 год и плановый период 2025 и 2026 годов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7pt;width:461.9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uWLsQIAAKoFAAAOAAAAZHJzL2Uyb0RvYy54bWysVG1vmzAQ/j5p/8HydwpkDgFUUrUhTJO6&#10;F6ndD3DABGtgM9sJ6ab9951NSJr2y7SND9Zhn5977u7xXd8cuhbtmdJcigyHVwFGTJSy4mKb4a+P&#10;hRdjpA0VFW2lYBl+YhrfLN++uR76lM1kI9uKKQQgQqdDn+HGmD71fV02rKP6SvZMwGEtVUcN/Kqt&#10;Xyk6AHrX+rMgiPxBqqpXsmRaw24+HuKlw69rVprPda2ZQW2GgZtxq3Lrxq7+8pqmW0X7hpdHGvQv&#10;WHSUCwh6gsqpoWin+CuojpdKalmbq1J2vqxrXjKXA2QTBi+yeWhoz1wuUBzdn8qk/x9s+Wn/RSFe&#10;ZZhgJGgHLXpkB4Pu5AEtbHWGXqfg9NCDmznANnTZZar7e1l+00jIVUPFlt0qJYeG0QrYhfam/+zq&#10;iKMtyGb4KCsIQ3dGOqBDrTpbOigGAnTo0tOpM5ZKCZvzOIoW0RyjEs5CQhZx4Hrn03S63itt3jPZ&#10;IWtkWEHrHTzd32tj6dB0crHRhCx427r2t+JiAxzHHQgOV+2ZpeG6+TMJknW8jolHZtHaI0Gee7fF&#10;inhRES7m+bt8tcrDXzZuSNKGVxUTNsykrJD8WeeOGh81cdKWli2vLJylpNV2s2oV2lNQduE+V3Q4&#10;Obv5lzRcESCXFymFMxLczRKviOKFRwoy95JFEHtBmNwlUUASkheXKd1zwf49JTRkOJnP5qOazqRf&#10;5Ba473VuNO24gdnR8i7DIAf4rBNNrQbXonK2obwd7WelsPTPpYB2T412irUiHeVqDpsDoFgZb2T1&#10;BNpVEpQFAoWBB0Yj1Q+MBhgeGdbfd1QxjNoPAvRvJ81kqMnYTAYVJVzNsMFoNFdmnEi7XvFtA8jj&#10;CxPyFt5IzZ16zyyOLwsGgkviOLzsxHn+77zOI3b5GwAA//8DAFBLAwQUAAYACAAAACEAmXrQr+AA&#10;AAAKAQAADwAAAGRycy9kb3ducmV2LnhtbEyPy07DMBBF90j8gzVI7Fo7VekjxKkqBCskRBoWLJ14&#10;mkSNxyF22/D3DCtYjubq3nOy3eR6ccExdJ40JHMFAqn2tqNGw0f5MtuACNGQNb0n1PCNAXb57U1m&#10;UuuvVODlEBvBJRRSo6GNcUilDHWLzoS5H5D4d/SjM5HPsZF2NFcud71cKLWSznTEC60Z8KnF+nQ4&#10;Ow37Tyqeu6+36r04Fl1ZbhW9rk5a399N+0cQEaf4F4ZffEaHnJkqfyYbRK9htkk4qWG5XrITB7bJ&#10;A7tUGtZqoUDmmfyvkP8AAAD//wMAUEsBAi0AFAAGAAgAAAAhALaDOJL+AAAA4QEAABMAAAAAAAAA&#10;AAAAAAAAAAAAAFtDb250ZW50X1R5cGVzXS54bWxQSwECLQAUAAYACAAAACEAOP0h/9YAAACUAQAA&#10;CwAAAAAAAAAAAAAAAAAvAQAAX3JlbHMvLnJlbHNQSwECLQAUAAYACAAAACEAcrrli7ECAACqBQAA&#10;DgAAAAAAAAAAAAAAAAAuAgAAZHJzL2Uyb0RvYy54bWxQSwECLQAUAAYACAAAACEAmXrQr+AAAAAK&#10;AQAADwAAAAAAAAAAAAAAAAALBQAAZHJzL2Rvd25yZXYueG1sUEsFBgAAAAAEAAQA8wAAABgGAAAA&#10;AA==&#10;" filled="f" stroked="f">
                <v:textbox inset="0,0,0,0">
                  <w:txbxContent>
                    <w:p w:rsidR="0059287F" w:rsidRDefault="0059287F" w:rsidP="0035667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59287F" w:rsidRDefault="0059287F" w:rsidP="0035667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59287F" w:rsidRDefault="0059287F" w:rsidP="0035667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59287F" w:rsidRPr="0059287F" w:rsidRDefault="0059287F" w:rsidP="0059287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  <w:szCs w:val="28"/>
                        </w:rPr>
                        <w:t xml:space="preserve">О </w:t>
                      </w:r>
                      <w:r w:rsidRPr="0059287F">
                        <w:rPr>
                          <w:sz w:val="28"/>
                          <w:szCs w:val="28"/>
                        </w:rPr>
                        <w:t>Прог</w:t>
                      </w:r>
                      <w:r>
                        <w:rPr>
                          <w:sz w:val="28"/>
                          <w:szCs w:val="28"/>
                        </w:rPr>
                        <w:t xml:space="preserve">нозе социально-экономического развития 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>города</w:t>
                      </w:r>
                      <w:r w:rsidRPr="0059287F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9287F"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</w:p>
                    <w:p w:rsidR="0059287F" w:rsidRPr="00B92BBC" w:rsidRDefault="0059287F" w:rsidP="0059287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9287F">
                        <w:rPr>
                          <w:sz w:val="28"/>
                          <w:szCs w:val="28"/>
                        </w:rPr>
                        <w:t>Новосибирской области на 2024 год и плановый период 2025 и 2026 годов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2AE02E5E" wp14:editId="755FA755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9287F" w:rsidRPr="004B11F2" w:rsidRDefault="0059287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59287F" w:rsidRDefault="0059287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АДМИНИСТРАЦИЯ  ГОРОДА  ИСКИТИМА  </w:t>
                            </w:r>
                          </w:p>
                          <w:p w:rsidR="0059287F" w:rsidRDefault="0059287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59287F" w:rsidRDefault="0059287F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59287F" w:rsidRPr="004B11F2" w:rsidRDefault="0059287F">
                      <w:pPr>
                        <w:pStyle w:val="1"/>
                        <w:rPr>
                          <w:sz w:val="28"/>
                        </w:rPr>
                      </w:pPr>
                      <w:bookmarkStart w:id="1" w:name="_GoBack"/>
                      <w:bookmarkEnd w:id="1"/>
                    </w:p>
                    <w:p w:rsidR="0059287F" w:rsidRDefault="0059287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АДМИНИСТРАЦИЯ  ГОРОДА  ИСКИТИМА  </w:t>
                      </w:r>
                    </w:p>
                    <w:p w:rsidR="0059287F" w:rsidRDefault="0059287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59287F" w:rsidRDefault="0059287F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71A36A40" wp14:editId="25301B8D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9287F" w:rsidRDefault="0059287F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15.11.2023         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         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2277   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59287F" w:rsidRDefault="0059287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59287F" w:rsidRDefault="0059287F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15.11.2023           </w:t>
                      </w:r>
                      <w:r>
                        <w:rPr>
                          <w:sz w:val="24"/>
                        </w:rPr>
                        <w:t xml:space="preserve">                              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      2277   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59287F" w:rsidRDefault="0059287F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59287F" w:rsidRPr="0059287F">
        <w:rPr>
          <w:sz w:val="28"/>
        </w:rPr>
        <w:t xml:space="preserve">В соответствии со статьей 173 Бюджетного кодекса Российской Федерации, Федеральным законом от 28.06.2014 № 172-ФЗ «О стратегическом планировании в Российской Федерации», постановлением администрации города </w:t>
      </w:r>
      <w:proofErr w:type="spellStart"/>
      <w:r w:rsidR="0059287F" w:rsidRPr="0059287F">
        <w:rPr>
          <w:sz w:val="28"/>
        </w:rPr>
        <w:t>Искитима</w:t>
      </w:r>
      <w:proofErr w:type="spellEnd"/>
      <w:r w:rsidR="0059287F" w:rsidRPr="0059287F">
        <w:rPr>
          <w:sz w:val="28"/>
        </w:rPr>
        <w:t xml:space="preserve"> Новосибирской области от 14.08.2015 № 1548 «Об утверждении положения о документах стратегического планирования города </w:t>
      </w:r>
      <w:proofErr w:type="spellStart"/>
      <w:r w:rsidR="0059287F" w:rsidRPr="0059287F">
        <w:rPr>
          <w:sz w:val="28"/>
        </w:rPr>
        <w:t>Искитима</w:t>
      </w:r>
      <w:proofErr w:type="spellEnd"/>
      <w:r w:rsidR="0059287F" w:rsidRPr="0059287F">
        <w:rPr>
          <w:sz w:val="28"/>
        </w:rPr>
        <w:t xml:space="preserve"> Новосибирской области», администрация города </w:t>
      </w:r>
      <w:proofErr w:type="spellStart"/>
      <w:r w:rsidR="0059287F" w:rsidRPr="0059287F">
        <w:rPr>
          <w:sz w:val="28"/>
        </w:rPr>
        <w:t>Искитима</w:t>
      </w:r>
      <w:proofErr w:type="spellEnd"/>
      <w:r w:rsidR="0059287F" w:rsidRPr="0059287F">
        <w:rPr>
          <w:sz w:val="28"/>
        </w:rPr>
        <w:t xml:space="preserve"> Новосибирской области </w:t>
      </w:r>
    </w:p>
    <w:p w:rsidR="0059287F" w:rsidRPr="0059287F" w:rsidRDefault="0059287F" w:rsidP="0059287F">
      <w:pPr>
        <w:ind w:firstLine="720"/>
        <w:jc w:val="both"/>
        <w:rPr>
          <w:sz w:val="28"/>
        </w:rPr>
      </w:pPr>
    </w:p>
    <w:p w:rsidR="0059287F" w:rsidRPr="0059287F" w:rsidRDefault="0059287F" w:rsidP="0059287F">
      <w:pPr>
        <w:ind w:firstLine="720"/>
        <w:jc w:val="both"/>
        <w:rPr>
          <w:sz w:val="28"/>
        </w:rPr>
      </w:pPr>
      <w:r w:rsidRPr="0059287F">
        <w:rPr>
          <w:sz w:val="28"/>
        </w:rPr>
        <w:t>ПОСТАНОВЛЯЕТ:</w:t>
      </w:r>
    </w:p>
    <w:p w:rsidR="0059287F" w:rsidRPr="0059287F" w:rsidRDefault="0059287F" w:rsidP="0059287F">
      <w:pPr>
        <w:ind w:firstLine="720"/>
        <w:jc w:val="both"/>
        <w:rPr>
          <w:sz w:val="28"/>
        </w:rPr>
      </w:pPr>
    </w:p>
    <w:p w:rsidR="0059287F" w:rsidRPr="0059287F" w:rsidRDefault="0059287F" w:rsidP="0059287F">
      <w:pPr>
        <w:ind w:firstLine="720"/>
        <w:jc w:val="both"/>
        <w:rPr>
          <w:sz w:val="28"/>
        </w:rPr>
      </w:pPr>
      <w:r w:rsidRPr="0059287F">
        <w:rPr>
          <w:sz w:val="28"/>
        </w:rPr>
        <w:t xml:space="preserve">1.Одобрить прилагаемый Прогноз социально-экономического развития города </w:t>
      </w:r>
      <w:proofErr w:type="spellStart"/>
      <w:r w:rsidRPr="0059287F">
        <w:rPr>
          <w:sz w:val="28"/>
        </w:rPr>
        <w:t>Искитима</w:t>
      </w:r>
      <w:proofErr w:type="spellEnd"/>
      <w:r w:rsidRPr="0059287F">
        <w:rPr>
          <w:sz w:val="28"/>
        </w:rPr>
        <w:t xml:space="preserve"> Новосибирской области на 2024 год и плановый период 2025 и 2026 годов.</w:t>
      </w:r>
    </w:p>
    <w:p w:rsidR="001D6AC6" w:rsidRDefault="0059287F" w:rsidP="0059287F">
      <w:pPr>
        <w:ind w:firstLine="720"/>
        <w:jc w:val="both"/>
        <w:rPr>
          <w:sz w:val="28"/>
        </w:rPr>
      </w:pPr>
      <w:r w:rsidRPr="0059287F">
        <w:rPr>
          <w:sz w:val="28"/>
        </w:rPr>
        <w:t>2.Опубликовать настоящее постановление в газете «</w:t>
      </w:r>
      <w:proofErr w:type="spellStart"/>
      <w:r w:rsidRPr="0059287F">
        <w:rPr>
          <w:sz w:val="28"/>
        </w:rPr>
        <w:t>Искитимские</w:t>
      </w:r>
      <w:proofErr w:type="spellEnd"/>
      <w:r w:rsidRPr="0059287F">
        <w:rPr>
          <w:sz w:val="28"/>
        </w:rPr>
        <w:t xml:space="preserve">  ведомости» и на официальном сайте администрации города </w:t>
      </w:r>
      <w:proofErr w:type="spellStart"/>
      <w:r w:rsidRPr="0059287F">
        <w:rPr>
          <w:sz w:val="28"/>
        </w:rPr>
        <w:t>Искитима</w:t>
      </w:r>
      <w:proofErr w:type="spellEnd"/>
      <w:r w:rsidRPr="0059287F">
        <w:rPr>
          <w:sz w:val="28"/>
        </w:rPr>
        <w:t xml:space="preserve"> Новосибирской области.</w:t>
      </w:r>
    </w:p>
    <w:p w:rsidR="00A44175" w:rsidRDefault="00A44175" w:rsidP="001D6AC6">
      <w:pPr>
        <w:ind w:firstLine="720"/>
        <w:jc w:val="both"/>
        <w:rPr>
          <w:sz w:val="28"/>
        </w:rPr>
      </w:pPr>
    </w:p>
    <w:p w:rsidR="0059287F" w:rsidRPr="001670E9" w:rsidRDefault="0059287F" w:rsidP="001D6AC6">
      <w:pPr>
        <w:ind w:firstLine="720"/>
        <w:jc w:val="both"/>
        <w:rPr>
          <w:sz w:val="28"/>
        </w:rPr>
      </w:pPr>
    </w:p>
    <w:p w:rsidR="0035002B" w:rsidRDefault="006C29E8" w:rsidP="00715F96">
      <w:pPr>
        <w:rPr>
          <w:sz w:val="28"/>
        </w:rPr>
      </w:pPr>
      <w:r w:rsidRPr="006C29E8">
        <w:rPr>
          <w:sz w:val="28"/>
        </w:rPr>
        <w:t xml:space="preserve">Глава  города </w:t>
      </w:r>
      <w:proofErr w:type="spellStart"/>
      <w:r>
        <w:rPr>
          <w:sz w:val="28"/>
        </w:rPr>
        <w:t>Искитима</w:t>
      </w:r>
      <w:proofErr w:type="spellEnd"/>
      <w:r w:rsidR="009F303A"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</w:t>
      </w:r>
      <w:proofErr w:type="spellStart"/>
      <w:r w:rsidRPr="006C29E8">
        <w:rPr>
          <w:sz w:val="28"/>
        </w:rPr>
        <w:t>С.В.Завражин</w:t>
      </w:r>
      <w:proofErr w:type="spellEnd"/>
    </w:p>
    <w:p w:rsidR="0059287F" w:rsidRDefault="0059287F" w:rsidP="00715F96">
      <w:pPr>
        <w:rPr>
          <w:sz w:val="28"/>
        </w:rPr>
      </w:pPr>
      <w:r>
        <w:rPr>
          <w:sz w:val="28"/>
        </w:rPr>
        <w:br w:type="page"/>
      </w:r>
    </w:p>
    <w:p w:rsidR="0059287F" w:rsidRDefault="0059287F" w:rsidP="0059287F">
      <w:pPr>
        <w:ind w:left="6096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>Одобрен</w:t>
      </w:r>
      <w:proofErr w:type="gramEnd"/>
      <w:r>
        <w:rPr>
          <w:sz w:val="24"/>
          <w:szCs w:val="24"/>
        </w:rPr>
        <w:t xml:space="preserve"> постановлением </w:t>
      </w:r>
    </w:p>
    <w:p w:rsidR="0059287F" w:rsidRDefault="0059287F" w:rsidP="0059287F">
      <w:pPr>
        <w:ind w:left="6096"/>
        <w:rPr>
          <w:sz w:val="24"/>
          <w:szCs w:val="24"/>
        </w:rPr>
      </w:pPr>
      <w:r>
        <w:rPr>
          <w:sz w:val="24"/>
          <w:szCs w:val="24"/>
        </w:rPr>
        <w:t xml:space="preserve">администрации города </w:t>
      </w:r>
      <w:proofErr w:type="spellStart"/>
      <w:r>
        <w:rPr>
          <w:sz w:val="24"/>
          <w:szCs w:val="24"/>
        </w:rPr>
        <w:t>Искитима</w:t>
      </w:r>
      <w:proofErr w:type="spellEnd"/>
    </w:p>
    <w:p w:rsidR="0059287F" w:rsidRDefault="0059287F" w:rsidP="0059287F">
      <w:pPr>
        <w:ind w:left="6096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59287F" w:rsidRDefault="0059287F" w:rsidP="0059287F">
      <w:pPr>
        <w:ind w:left="6096"/>
        <w:rPr>
          <w:sz w:val="24"/>
          <w:szCs w:val="24"/>
        </w:rPr>
      </w:pPr>
      <w:r>
        <w:rPr>
          <w:sz w:val="24"/>
          <w:szCs w:val="24"/>
        </w:rPr>
        <w:t>от 15.11.2023 № 2277</w:t>
      </w:r>
    </w:p>
    <w:p w:rsidR="0059287F" w:rsidRDefault="0059287F" w:rsidP="0059287F">
      <w:pPr>
        <w:rPr>
          <w:sz w:val="28"/>
        </w:rPr>
      </w:pPr>
    </w:p>
    <w:p w:rsidR="0059287F" w:rsidRDefault="0059287F" w:rsidP="0059287F">
      <w:pPr>
        <w:jc w:val="center"/>
        <w:rPr>
          <w:sz w:val="28"/>
        </w:rPr>
      </w:pPr>
      <w:r>
        <w:rPr>
          <w:sz w:val="28"/>
        </w:rPr>
        <w:t>Прогноз</w:t>
      </w:r>
    </w:p>
    <w:p w:rsidR="0059287F" w:rsidRDefault="0059287F" w:rsidP="0059287F">
      <w:pPr>
        <w:jc w:val="center"/>
        <w:rPr>
          <w:sz w:val="28"/>
        </w:rPr>
      </w:pPr>
      <w:r>
        <w:rPr>
          <w:sz w:val="28"/>
        </w:rPr>
        <w:t xml:space="preserve">социально-экономического развития города 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Новосибирской области на 2024 год и плановый период 2025 и 2026 годов</w:t>
      </w:r>
    </w:p>
    <w:p w:rsidR="0059287F" w:rsidRDefault="0059287F" w:rsidP="0059287F">
      <w:pPr>
        <w:rPr>
          <w:sz w:val="28"/>
        </w:rPr>
      </w:pP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Прогноз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на средне-срочный период 2024–2026 годов (далее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 xml:space="preserve">рогноз) является документом стратегического планирования, который определяет направления и ожидаемые результаты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соответствующем периоде. </w:t>
      </w:r>
      <w:proofErr w:type="gramStart"/>
      <w:r>
        <w:rPr>
          <w:sz w:val="28"/>
          <w:szCs w:val="28"/>
        </w:rPr>
        <w:t xml:space="preserve">Прогноз разработан для целей бюджетного планирования в соответствии с приоритетами и целевыми индикаторами социально-экономического развития, сформулированными в Стратегии 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период до 2030 года, утвержденной Решением Совета депутатов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от  26.02.2020  № 314, на основании анализа итогов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за 2022 год, оценки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2023 году.</w:t>
      </w:r>
      <w:proofErr w:type="gramEnd"/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 подготовке прогноза были учтены приоритеты и основные параметры прогноза социально-экономического развития Новосибирской области на 2024 год и плановый период 2025 и 2026 годов, рассмотренные и одобренные на заседании Правительства Новосибирской области, Указы Президента Российской Федерации от 07.05.2018 № 204 «О национальных целях и стратегических задачах развития Российской Федерации на период до 2024 года», Указы  Президента Российской Федерации от 09.05.2017 № 203</w:t>
      </w:r>
      <w:proofErr w:type="gramEnd"/>
      <w:r>
        <w:rPr>
          <w:sz w:val="28"/>
          <w:szCs w:val="28"/>
        </w:rPr>
        <w:t xml:space="preserve"> «О стратегии развития информационного общества в Российской Федерации на 2017 – 2030 годы».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разработан для целей бюджетного планирования в составе трех основных вариантов – консервативного, целевого и инновационного сценария, в зависимости от степени реализации факторов, влияющих на развитие экономики и социальной сферы в прогнозном периоде.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Консервативный сценарий (1 вариант) - предполагает консервативное развитие, сдержанную инвестиционную политику частных компаний при относительно слабом росте потребительского спроса.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Целевой (2 вариант) - предполагает оживление и рост в экономике при не ухудшающихся внешних условиях, создание необходимых условий для инновационного развития, Ускоренная реализация национальных проектов, крупных инфраструктурных проектов на территории города.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Инновационный (3 вариант) - характеризуется, с одной стороны, ожиданиями позитивных изменений во внешней среде, с другой - формированием внутренних условий для опережающего экономического роста, ускоренном инновационном развитии отраслей-лидеров.</w:t>
      </w:r>
    </w:p>
    <w:p w:rsidR="0059287F" w:rsidRP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Различия между вариантами прогноза связаны с динамикой факторов экономического роста, зависящих, в том числе от успешности мер структурной экономической политики.</w:t>
      </w:r>
    </w:p>
    <w:p w:rsidR="0059287F" w:rsidRP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Оценка достигнутого уровня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за 2022 год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Демографическая ситуация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 xml:space="preserve">  в январе – декабре 2022 года характеризовалась естественной убылью населения. Уровень рождаемости по городу </w:t>
      </w:r>
      <w:proofErr w:type="spellStart"/>
      <w:r>
        <w:rPr>
          <w:sz w:val="28"/>
          <w:szCs w:val="28"/>
        </w:rPr>
        <w:t>Искитиму</w:t>
      </w:r>
      <w:proofErr w:type="spellEnd"/>
      <w:r>
        <w:rPr>
          <w:sz w:val="28"/>
          <w:szCs w:val="28"/>
        </w:rPr>
        <w:t xml:space="preserve"> на 01.01.2023 года снизился на 55 детей относительно уровня рождаемости за 2021 год (в 2022 г. родилось 528 детей, в 2021 – 583 ребенка). Продолжает оставаться высокой смертность населения (2022 год –912 человек, 2021 год –1242 человека). Естественная убыль населения составила 384 человека. 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 w:rsidRPr="0059287F">
        <w:rPr>
          <w:rStyle w:val="af1"/>
          <w:rFonts w:eastAsia="Calibri"/>
          <w:i w:val="0"/>
          <w:sz w:val="28"/>
        </w:rPr>
        <w:t xml:space="preserve">На фоне изменения численности населения, в результате естественного движения населения, для города </w:t>
      </w:r>
      <w:proofErr w:type="spellStart"/>
      <w:r w:rsidRPr="0059287F">
        <w:rPr>
          <w:rStyle w:val="af1"/>
          <w:rFonts w:eastAsia="Calibri"/>
          <w:i w:val="0"/>
          <w:sz w:val="28"/>
        </w:rPr>
        <w:t>Искитима</w:t>
      </w:r>
      <w:proofErr w:type="spellEnd"/>
      <w:r w:rsidRPr="0059287F">
        <w:rPr>
          <w:rStyle w:val="af1"/>
          <w:rFonts w:eastAsia="Calibri"/>
          <w:i w:val="0"/>
          <w:sz w:val="28"/>
        </w:rPr>
        <w:t xml:space="preserve"> возрастает значение миграции населения. В 2022 году была отмечена миграционная прибыль населения в город </w:t>
      </w:r>
      <w:proofErr w:type="spellStart"/>
      <w:r w:rsidRPr="0059287F">
        <w:rPr>
          <w:rStyle w:val="af1"/>
          <w:rFonts w:eastAsia="Calibri"/>
          <w:i w:val="0"/>
          <w:sz w:val="28"/>
        </w:rPr>
        <w:t>Искитим</w:t>
      </w:r>
      <w:proofErr w:type="spellEnd"/>
      <w:r w:rsidRPr="0059287F">
        <w:rPr>
          <w:rStyle w:val="af1"/>
          <w:rFonts w:eastAsia="Calibri"/>
          <w:i w:val="0"/>
          <w:sz w:val="28"/>
        </w:rPr>
        <w:t xml:space="preserve"> в количестве –333 человека (в 2021 году наблюдается отток населения в количестве – 17 человек), что является свидетельством повышения качества жизни населения и комфортности города </w:t>
      </w:r>
      <w:proofErr w:type="spellStart"/>
      <w:r w:rsidRPr="0059287F">
        <w:rPr>
          <w:rStyle w:val="af1"/>
          <w:rFonts w:eastAsia="Calibri"/>
          <w:i w:val="0"/>
          <w:sz w:val="28"/>
        </w:rPr>
        <w:t>Искитима</w:t>
      </w:r>
      <w:proofErr w:type="spellEnd"/>
      <w:r w:rsidRPr="0059287F">
        <w:rPr>
          <w:rStyle w:val="af1"/>
          <w:rFonts w:eastAsia="Calibri"/>
          <w:i w:val="0"/>
          <w:sz w:val="28"/>
        </w:rPr>
        <w:t>, как места для проживания, работы, обучения и воспитания детей</w:t>
      </w:r>
      <w:r>
        <w:rPr>
          <w:rStyle w:val="af1"/>
          <w:rFonts w:eastAsia="Calibri"/>
          <w:sz w:val="28"/>
        </w:rPr>
        <w:t xml:space="preserve">. </w:t>
      </w:r>
      <w:r>
        <w:rPr>
          <w:sz w:val="28"/>
          <w:szCs w:val="28"/>
        </w:rPr>
        <w:t xml:space="preserve">Численность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01.01.2023 года составила 56 781 человек.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Средняя заработная плата по полному кругу предприятий к концу 2022 года составила 44 329,7 рубля, увеличившись по отношению к прошлому году на 18,1 %.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Промышленность занимает ведущее положение в экономике города. Наибольший удельный вес в общем объеме производства промышленной продукции имеет производство строительных материалов – 64 %.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условиях непростой экономической ситуации в 2022 году предприятиями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отгружено промышленной продукции в действующих ценах на сумму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28,2 млрд. руб. Индекс физического объема составил 134 %.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итогам 2022 года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розничную торговлю осуществляли 415 субъектов потребительского рынка, что выше уровня 2021 года на 0,7%, количество объектов потребительского рынка возросло на 0,9% и составило 593.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Фактическая обеспеченность площадью стационарных торговых объектов по итогам 2022 года составила 901,4 м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на 1000 человек, что превышает установленный для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минимальный норматив в 1,7 раза.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Оборот розничной торговли за 2022 год составил 7,3 млрд. рублей, индекс физического объема оборота к 2021 году  составил 85,4%. Основную часть оборота розничной торговли формируют крупные и средние организации.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итогам 2022 года оборот предприятий общественного питания в г.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 xml:space="preserve"> составил 251,0 млн. рублей, индекс физического объема к 2021 году составил 88,7%.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Важную составляющую в сфере потребительского рынка занимает бытовое обслуживание населения. Население города обеспечено всеми видами бытовых услуг в полном объеме.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Объем платных услуг населению  составил 2010 млн. рулей, индекс физического объема к 2021 году составил 93,3%.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2023 и последующие годы большое внимание в сфере потребительского рынка  будет уделено развитию </w:t>
      </w:r>
      <w:proofErr w:type="spellStart"/>
      <w:r>
        <w:rPr>
          <w:sz w:val="28"/>
          <w:szCs w:val="28"/>
        </w:rPr>
        <w:t>многоформатной</w:t>
      </w:r>
      <w:proofErr w:type="spellEnd"/>
      <w:r>
        <w:rPr>
          <w:sz w:val="28"/>
          <w:szCs w:val="28"/>
        </w:rPr>
        <w:t xml:space="preserve"> торговли (нестационарной, мобильной), проведению ярмарок, реализации комплекса мер по развитию розничных рынков, расширению современных форм и методов торговли, направленных на удовлетворение спроса населения на потребительские товары и услуги, способствующих развитию конкуренции на продовольственном рынке  и создающих благоприятные возможности для местных производителей.</w:t>
      </w:r>
      <w:proofErr w:type="gramEnd"/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Малое и среднее предпринимательство является неотъемлемым и необходимым элементом любой развитой хозяйственной системы. Современный динамично развивающийся малый бизнес обеспечивает поддержание конкурентных начал в экономике, что в свою очередь способствует созданию новых более эффективных и производительных рабочих мест. </w:t>
      </w:r>
      <w:r>
        <w:rPr>
          <w:sz w:val="28"/>
          <w:szCs w:val="28"/>
        </w:rPr>
        <w:t>Роль малого бизнеса нельзя недооценивать, так как от его развития зависят повышение конкурентоспособности отраслей экономики, увеличение налоговых поступлений и благосостояние населения. 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итогам 2022 года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осуществляли различные виды деятельности 1 165 индивидуальных предпринимателя и 598 предприятий малого бизнеса. Численность занятых на малых предприятиях осталась на уровне прошлого года и составила 6 655 человек.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инвестиционных вложений малых и средних предприятий составляет около 35 % от общего объема инвестиций по городу.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итогов инвестиционной деятельности предприятий и организаций города  показал, что объем инвестиций в основной капитал за счет всех источников финансирования увеличился на 27% в сопоставимых ценах к уровню 2021 года и составил 1,89 млрд. руб.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80 % общего объема инвестиций в 2022 году приходится на производственную сферу и строительство жилья. В промышленности освоено 47,4 % общего объема инвестиций, что выше уровня 2021 года на 27,4 %. Инвестиции в промышленных предприятиях были направлены на техническое перевооружение производственных </w:t>
      </w:r>
      <w:proofErr w:type="gramStart"/>
      <w:r>
        <w:rPr>
          <w:sz w:val="28"/>
          <w:szCs w:val="28"/>
        </w:rPr>
        <w:t>мощностей</w:t>
      </w:r>
      <w:proofErr w:type="gramEnd"/>
      <w:r>
        <w:rPr>
          <w:sz w:val="28"/>
          <w:szCs w:val="28"/>
        </w:rPr>
        <w:t xml:space="preserve"> на АО «</w:t>
      </w:r>
      <w:proofErr w:type="spellStart"/>
      <w:r>
        <w:rPr>
          <w:sz w:val="28"/>
          <w:szCs w:val="28"/>
        </w:rPr>
        <w:t>Искитимцемент</w:t>
      </w:r>
      <w:proofErr w:type="spellEnd"/>
      <w:r>
        <w:rPr>
          <w:sz w:val="28"/>
          <w:szCs w:val="28"/>
        </w:rPr>
        <w:t>», АО «НЗИВ» и АО «</w:t>
      </w:r>
      <w:proofErr w:type="spellStart"/>
      <w:r>
        <w:rPr>
          <w:sz w:val="28"/>
          <w:szCs w:val="28"/>
        </w:rPr>
        <w:t>ИскитимИзвесть</w:t>
      </w:r>
      <w:proofErr w:type="spellEnd"/>
      <w:r>
        <w:rPr>
          <w:sz w:val="28"/>
          <w:szCs w:val="28"/>
        </w:rPr>
        <w:t>».</w:t>
      </w:r>
    </w:p>
    <w:p w:rsidR="0059287F" w:rsidRDefault="0059287F" w:rsidP="0059287F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отчетном периоде бюджетные инвестиции составили 12,2 % от общего объема инвестиций. Основная их часть была направлена ремонт дорог города, переселение жителей из аварийного и ветхого жилья, здравоохранение и благоустройство парка в Индустриальном микрорайоне города</w:t>
      </w:r>
      <w:proofErr w:type="gramStart"/>
      <w:r>
        <w:rPr>
          <w:sz w:val="28"/>
          <w:szCs w:val="28"/>
        </w:rPr>
        <w:t>..</w:t>
      </w:r>
      <w:proofErr w:type="gramEnd"/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В 2022 году введено в эксплуатацию 14 628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жилья, что на 10,2 % выше уровня аналогичного показателя соответствующего периода прошлого года. Данные по объему построенного и реконструированного индивидуального жилья за 2022 год отсутствуют, в связи с отменой с 2021 года у органов местного самоуправления обязанности по вводу индивидуального жилья.</w:t>
      </w:r>
    </w:p>
    <w:p w:rsidR="0059287F" w:rsidRDefault="0059287F" w:rsidP="0059287F">
      <w:pPr>
        <w:ind w:firstLine="709"/>
        <w:jc w:val="both"/>
        <w:rPr>
          <w:color w:val="C00000"/>
        </w:rPr>
      </w:pPr>
      <w:r>
        <w:rPr>
          <w:sz w:val="28"/>
          <w:szCs w:val="28"/>
        </w:rPr>
        <w:t xml:space="preserve">Объём строительно-монтажных работ, выполненный всеми предприятиями и организациями города, по сравнению с соответствующим периодом прошлого года в сопоставимых ценах снизился на 6,1 %. Основной </w:t>
      </w:r>
      <w:r>
        <w:rPr>
          <w:sz w:val="28"/>
          <w:szCs w:val="28"/>
        </w:rPr>
        <w:lastRenderedPageBreak/>
        <w:t>объем строительно-монтажных работ освоен в строительстве жилых зданий и производственных помещений (62,4%).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целом развитие города, усиление его позиций в настоящее время во многом зависит от привлечения на территорию: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средств федерального и областного бюджетов через участие в проектах и программах всех уровней;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средств частных инвесторов через реализацию инвестиционных проектов на сформированных площадках с наличием мощностей.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отчетный период объем перевозок грузов автомобильным транспортом повысился на 0,1 % по отношению к 2021 году и составил 5 072 тыс. тонн – это обусловлено повышением объемов производства предприятиями города. 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В целях создания условий для организации транспортного обслуживания населения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 xml:space="preserve"> сформирована маршрутная сеть, состоящая из 21 муниципального маршрута. Пассажирские перевозки осуществляют 6 перевозчиков, в том числе муниципальное предприятие и 5 предпринимателей. Общий объем пассажирских перевозок  за 2022 год  уменьшился на 30 % и составил 2 725 тысяч человек. Значительный спад пассажиропотока связан с сокращением маршрутной сети и частыми сходами транспорта с линии.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Основная доля в объеме пассажирских перевозок в 2022 году приходилась н</w:t>
      </w:r>
      <w:proofErr w:type="gramStart"/>
      <w:r>
        <w:rPr>
          <w:sz w:val="28"/>
          <w:szCs w:val="28"/>
        </w:rPr>
        <w:t>а ООО</w:t>
      </w:r>
      <w:proofErr w:type="gramEnd"/>
      <w:r>
        <w:rPr>
          <w:sz w:val="28"/>
          <w:szCs w:val="28"/>
        </w:rPr>
        <w:t xml:space="preserve"> «ПАТП». Сегодня это единственное предприятие, осуществляющее по договору с Министерством транспорта и дорожного хозяйства Новосибирской области пассажирские перевозки льготных категорий граждан на территории города. </w:t>
      </w:r>
    </w:p>
    <w:p w:rsidR="0059287F" w:rsidRP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Оценка факторов и ограничений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среднесрочный период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среднесрочном периоде определяется как внешними, так и внутренними факторами, которые носят характер возможностей и ограничений социально-экономического развития.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Тенденции развития мировой и российской экономики отражают внешние факторы, обусловленные возможным замедлением роста экономики, обесцениванием валют развивающихся рынков, введением ограничений, связанных со сложной экономической ситуацией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 внутрироссийским факторам, которые могут отрицательно повлиять на социально-экономическое развитие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можно отнести  инфляционные процессы как следствие </w:t>
      </w:r>
      <w:proofErr w:type="spellStart"/>
      <w:r>
        <w:rPr>
          <w:sz w:val="28"/>
          <w:szCs w:val="28"/>
        </w:rPr>
        <w:t>санкционного</w:t>
      </w:r>
      <w:proofErr w:type="spellEnd"/>
      <w:r>
        <w:rPr>
          <w:sz w:val="28"/>
          <w:szCs w:val="28"/>
        </w:rPr>
        <w:t xml:space="preserve"> давления со стороны западных стран, снижение численности населения в трудоспособном возрасте, а также невысокую доступность финансовых ресурсов для субъектов бизнеса из-за высоких процентных ставок по кредитам, несмотря на значительные послабления в отдельных видах финансовой поддержки в 2022 году.</w:t>
      </w:r>
      <w:proofErr w:type="gramEnd"/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прогнозном периоде продолжение </w:t>
      </w:r>
      <w:proofErr w:type="spellStart"/>
      <w:r>
        <w:rPr>
          <w:sz w:val="28"/>
          <w:szCs w:val="28"/>
        </w:rPr>
        <w:t>санкционного</w:t>
      </w:r>
      <w:proofErr w:type="spellEnd"/>
      <w:r>
        <w:rPr>
          <w:sz w:val="28"/>
          <w:szCs w:val="28"/>
        </w:rPr>
        <w:t xml:space="preserve"> давления со стороны западных стран будет оказывать в большей степени негативное воздействие на социально-экономическое развитие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.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К основным факторам и ограничениям, сдерживающим социально-экономическое развитие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среднесрочном периоде, относятся: </w:t>
      </w:r>
      <w:r>
        <w:rPr>
          <w:color w:val="C00000"/>
          <w:sz w:val="28"/>
          <w:szCs w:val="28"/>
        </w:rPr>
        <w:tab/>
      </w:r>
      <w:r>
        <w:rPr>
          <w:sz w:val="28"/>
          <w:szCs w:val="28"/>
        </w:rPr>
        <w:t>-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невысокие темпы роста доходов населения;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недостаточный уровень благосостояния населения;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 недостаток инвестиций;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недостаточный уровень внедрения инновационных технологий;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недостаточный уровень развития инфраструктуры;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ограниченность территории города, дефицит свободных площадей для застройки;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ограниченность бюджетных ресурсов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сокращение численности населения в трудоспособном возрасте.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Демографический прогноз предполагает усиление тенденции старения населения и ухудшение возрастной структуры. Динамика естественной убыли населения демонстрирует превышение смертности над рождаемостью. </w:t>
      </w:r>
    </w:p>
    <w:p w:rsidR="0059287F" w:rsidRP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Экономическому росту могут способствовать решение задач, определенных документами стратегического планирования, планами мероприятий и дорожными картами, направленными на социально-экономическое развитие города. Вышеуказанные факторы и ограничения будут оказывать влияние на социально-экономическое развитие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2024 - 2026 годах.</w:t>
      </w:r>
    </w:p>
    <w:p w:rsidR="0059287F" w:rsidRP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Основные направления (приоритеты)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и целевые показатели прогноза социально-экономического развития на 2024 год и плановый период 2025-2026 годов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Приоритеты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на 2024 год и плановый период 2025 и 2026 годов: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3.1.1.</w:t>
      </w:r>
      <w:r>
        <w:rPr>
          <w:sz w:val="28"/>
          <w:szCs w:val="28"/>
        </w:rPr>
        <w:tab/>
        <w:t>Развитие человеческого капитала и социальной сферы;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сохранения положительных темпов демографического развития в городе и дальнейшего улучшения демографической ситуации: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реализации мер, направленных на улучшение положения семей с детьми, укрепление института семьи, повышение престижа материнства и отцовства, развитие и сохранение семейных ценностей;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предупреждение и снижение смертности по основным классам причин, содействие увеличению продолжительности здоровой жизни населения;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благоприятной социальной среды для жизни и самореализации жителей города.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здорового образа жизни у граждан, обеспечение населения доступной и качественной медицинской помощью: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формирование моделей поведения и системы жизненных ценностей, особенно у детей и лиц трудоспособного возраста, к ведению здорового образа жизни, в том числе путем просвещения различных групп и реализации мер, направленных на здоровое питание,  регулярные занятия спортом и первичную профилактику различного вида зависимостей;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формировании эффективной системы профилактики заболеваний, предусматривающей увеличение охвата граждан профилактическими медицинскими осмотрами;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среды, способствующей ведению гражданами здорового образа жизни, включая здоровое питание;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проведение информационно-коммуникационной кампании, направленной на формирование и мотивирование к ведению здорового образа жизни;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создании современной системы оказания медицинской помощи лицам старших возрастных групп во взаимодействии с организациями социального обслуживания;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>-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обеспечение доступности и качества оказания паллиативной медицинской помощи;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предоставлении льготного лекарственного обеспечения отдельным категориям граждан.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благополучия и устойчивого роста качества жизни населения города: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 сохранению достигнутого соотношения между уровнем </w:t>
      </w:r>
      <w:proofErr w:type="gramStart"/>
      <w:r>
        <w:rPr>
          <w:sz w:val="28"/>
          <w:szCs w:val="28"/>
        </w:rPr>
        <w:t>оплаты труда отдельных категорий работников бюджетной сферы</w:t>
      </w:r>
      <w:proofErr w:type="gramEnd"/>
      <w:r>
        <w:rPr>
          <w:sz w:val="28"/>
          <w:szCs w:val="28"/>
        </w:rPr>
        <w:t xml:space="preserve"> и уровнем средней заработной платы в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обеспечение повышения уровня реального размера заработной платы работников муниципальных учреждений;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ведомственного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 в организациях бюджетной сферы.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Максимальное удовлетворение рынка труда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квалифицированными кадрами, обеспечение эффективной занятости граждан: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обеспечении стабильной ситуации на официальном рынке труда, осуществление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организация профессиональной переподготовки и повышения </w:t>
      </w:r>
      <w:proofErr w:type="gramStart"/>
      <w:r>
        <w:rPr>
          <w:sz w:val="28"/>
          <w:szCs w:val="28"/>
        </w:rPr>
        <w:t>квалификации</w:t>
      </w:r>
      <w:proofErr w:type="gramEnd"/>
      <w:r>
        <w:rPr>
          <w:sz w:val="28"/>
          <w:szCs w:val="28"/>
        </w:rPr>
        <w:t xml:space="preserve"> ищущих работу граждан, включая граждан пред пенсионного возраста и женщин, воспитывающих детей дошкольного возраста, в том числе в рамках национального проекта «Демография»;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условий для сбалансированности спроса и предложения рабочей силы, стимулирование населения к трудовой активности, повышение конкурентоспособности молодежи на рынке труда и граждан с инвалидностью;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системы содействия занятости населения через создание новых эффективных рабочих мест, расширение возможностей </w:t>
      </w:r>
      <w:proofErr w:type="spellStart"/>
      <w:r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 xml:space="preserve"> и предпринимательства, использование гибких форм занятости;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создание условий для привлечения и адаптации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высококвалифицированных, профессиональных кадров в соответствии и перспективными потребностями экономики;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реализация мероприятий по улучшению условий и охраны труда, направленных на сохранение жизни и здоровья работников в процессе трудовой деятельности;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обеспечение государственных гарантий в области содействия занятости населения, социальной поддержки граждан в период их временной безработицы;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содействие работодателям в обеспечении необходимыми трудовыми ресурсами, в том числе инвесторам в кадровом обеспечении инвестиционных проектов, реализующих или планирующих к реализации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качества предоставления услуг в сфере содействия занятости населения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 xml:space="preserve">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роста заработной платы за счет реализации высокоэффективных инвестиционных проектов, развития современных производств, повышения производительности труда, принятие мер по сокращению неформальной занятости населения.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 конкурентного, современного и качественного образования, обеспечение равных образовательных возможностей для граждан: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повышения доступности качественного образования, соответствующего требованиям развития экономики и современным потребностям общества и каждого жителя;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в системе дошкольного,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жительства, состояния здоровья и социально-экономического положения их семей;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современной материальной инфраструктуры образования и технологической образовательной среды образовательных организаций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с учетом особенностей образовательной деятельности, обеспечение безопасного подвоза учащихся к базовой крупной школе;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обучения, обеспечивающих односменный режим обучения в общеобразовательных организациях;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реализация комплекса мероприятий по обеспечению безопасности и сохранению здоровья детей, формированию системы инклюзивного образования;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предоставление мест в дошкольных организациях, развитие вариативных форм дошкольного образования;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повышение уровня воспитательной работы в общеобразовательных организациях, реализация мер по развитию дополнительного образования детей;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и поддержка одаренных детей и учащейся молодежи;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обновление кадрового состава образовательных организаций и привлечение молодых педагогов для работы в сфере образования;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программах по подготовке квалифицированных специалистов и рабочих кадров в соответствии с современными стандартами и передовыми технологиями на базе профессиональных образовательных организаций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формирование условий для создания опережающей адаптивной подготовки кадров на базе профессиональных образовательных организаций, </w:t>
      </w:r>
      <w:proofErr w:type="spellStart"/>
      <w:r>
        <w:rPr>
          <w:sz w:val="28"/>
          <w:szCs w:val="28"/>
        </w:rPr>
        <w:lastRenderedPageBreak/>
        <w:t>минимизирующих</w:t>
      </w:r>
      <w:proofErr w:type="spellEnd"/>
      <w:r>
        <w:rPr>
          <w:sz w:val="28"/>
          <w:szCs w:val="28"/>
        </w:rPr>
        <w:t xml:space="preserve"> кадровый дефицит, в соответствии с текущими и перспективными требованиями рынка труда;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принятия участия в профессиональных конкурсах с целью предоставления гражданам возможностей для профессионального и карьерного роста;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развития современной и безопасной цифровой образовательной среды, обеспечивающей высокое качество и доступность образования всех видов и уровней;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реализация программ начального, основного и среднего общего образования, общеобразовательных программ в сетевой форме;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новых мест в дошкольных образовательных организациях и обеспечение необходимых условий пребывания детей, детей с ОВЗ и детей-инвалидов в организациях, осуществляющих образовательную деятельность по образовательным программам дошкольного образования, для детей в возрасте от полутора до трех лет;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охват детей с ограниченными возможностями здоровья программами дополнительного образования, в том числе с использованием дистанционных технологий;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сокращение числа обучающихся муниципальных общеобразовательных учреждений, занимающихся во вторую смену;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 охвата детей в возрасте 5 - 18 лет программами дополнительного образования, а также занимающихся в кружках, организованных на базе дневных общеобразовательных организаций;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оказание услуг психолого-педагогической, методической и консультативной помощи родителям (законным представителям) детей, а также гражданам, желающим принять на воспитание в свои семьи детей, оставшихся без попечения родителей;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уровня профессионального мастерства педагогов системы общего и дополнительного образования детей, в том числе в формате непрерывного образования.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конкурентоспособности системы образования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воспитание гармонично развитой личности на основе культурных традиций;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предотвращение употребления наркотиков и их незаконного оборота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благоприятных условий для гражданского становления и социальной самореализации молодежи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в соответствии с меняющимися запросами населения;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системы профилактики правонарушений и повышение уровня безопасности граждан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управления системой образования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разносторонней, развитой, нравственной личности, имеющей возможности для самореализации: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условий для формирования у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потребности в культурных ценностях и реализации творческого потенциала, вовлечения населения в культурную жизнь города;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обеспечение формирования гармоничной и комфортной культурной среды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модернизация инфраструктуры в сфере культуры;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 формировании и продвижении устойчивого бренда, отражающего представление о Новосибирской области как о крупнейшем культурном центре азиатской части России;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содействие в обеспечении развития сферы культуры профессиональными кадрами;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условий для обеспечения сохранности и популяризации историко-культурного наследия народов, проживающих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участие в реализации новой модели государственной культурной политики, обеспечивающей эффективное межведомственное взаимодействие, активное вовлечение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общественных организаций и коммерческого сектора в формирование культурного пространства;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участию молодых талантов во всероссийских и международных творческих состязаниях;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эффективности деятельности организаций культуры по защите исторической правды, сохранению исторической памяти, противодействию фальсификации истории;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мотивации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к регулярным занятиям физической культурой и спортом и ведению здорового образа жизни;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условий для развития физической культуры и спорта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 расширении сети современной инфраструктуры физической культуры и спорта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развития спорта высших достижений и совершенствование системы подготовки спортивного резерва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 развитии и реализации культурного, нравственного, интеллектуального и творческого потенциала молодежи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формирование позитивного образа «Малой Родины», воспитание ответственности перед территорией, в которой живешь;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развитие, укрепление и повышение </w:t>
      </w:r>
      <w:proofErr w:type="gramStart"/>
      <w:r>
        <w:rPr>
          <w:sz w:val="28"/>
          <w:szCs w:val="28"/>
        </w:rPr>
        <w:t>эффективности системы патриотического воспитания граждан Российской Федерации</w:t>
      </w:r>
      <w:proofErr w:type="gramEnd"/>
      <w:r>
        <w:rPr>
          <w:sz w:val="28"/>
          <w:szCs w:val="28"/>
        </w:rPr>
        <w:t xml:space="preserve">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профилактика проявлений экстремизма, национализма преступности в молодежной среде;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развитию добровольческой и благотворительной деятельности;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 развитии инфраструктуры для осуществления молодежной политики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условий для активного самоопределения и самореализации молодежи как носителя инновационных возможностей;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развития профессиональных компетенций специалистов, осуществляющих работу с молодежью;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условий для укрепления и сохранения многонациональных отношений народа, проживающего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формирование у населения города культуры межнациональных и межконфессиональных отношений;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укрепление Российской гражданской идентичности населения города на основе духовно-нравственных и культурных ценностей народов Российской Федерации.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правовых, организационных и других условий функционирования и развития институтов гражданского общества;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и развитие информационного общества;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доступности жителей микрорайонов города </w:t>
      </w:r>
      <w:proofErr w:type="gramStart"/>
      <w:r>
        <w:rPr>
          <w:sz w:val="28"/>
          <w:szCs w:val="28"/>
        </w:rPr>
        <w:t>высоко-скоростным</w:t>
      </w:r>
      <w:proofErr w:type="gramEnd"/>
      <w:r>
        <w:rPr>
          <w:sz w:val="28"/>
          <w:szCs w:val="28"/>
        </w:rPr>
        <w:t xml:space="preserve"> «Интернетом» и связью;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охват всех слоев населения экологическим просвещением, образованием, воспитание, формирование активной гражданской позиции и ответственности;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максимальной доступности жителей города к культурным ценностям и участию в культурной жизни города;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проведение культурных мероприятий регионального уровня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(реконструкция), выставочных пространств, культурно-досуговых организаций на территории города, развитие библиотек, увеличение уровня комплектования книжных фондов общедоступных библиотек.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комфортной жизни и самореализации отдельных категорий населения, нуждающихся в особой заботе государства, повышение эффективности мер социальной защиты: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укрепление традиционных семейных ценностей; реализация комплексного подхода к социальному обслуживанию и социальному сопровождению семей с детьми, нуждающихся в помощи и поддержке; внедрение новых принципов развития сектора детского отдыха;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 реализации комплексной системы мер по профилактике социального сиротства; содействие в устройстве детей из детских домов в семьи; развитие системы сопровождения замещающих семей и </w:t>
      </w:r>
      <w:proofErr w:type="spellStart"/>
      <w:r>
        <w:rPr>
          <w:sz w:val="28"/>
          <w:szCs w:val="28"/>
        </w:rPr>
        <w:t>постинтернатного</w:t>
      </w:r>
      <w:proofErr w:type="spellEnd"/>
      <w:r>
        <w:rPr>
          <w:sz w:val="28"/>
          <w:szCs w:val="28"/>
        </w:rPr>
        <w:t xml:space="preserve"> сопровождения выпускников детских домов; обеспечение лиц из числа детей-сирот и детей, оставшихся без попечения родителей, жилыми помещениями;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работы по предоставлению качественных и востребованных социальных услуг гражданам старшего поколения, создание условий для активного долголетия; реализация системы долговременного ухода на 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за гражданами пожилого возраста и инвалидами;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социальной интеграции инвалидов и формирование доступной среды для инвалидов и других маломобильных групп населения;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материальная поддержка жителей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оказание социальных услуг отдельным категориям граждан;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формированию конкурентного рынка социальных услуг;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поддержки и содействие социальной адаптации граждан, попавших в трудную жизненную ситуацию или находящихся в социально опасном положении;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развитие современных эффективных социальных практик по поддержке жизненного потенциала семей, воспитывающих детей с инвалидностью, повышение качества и доступности социальных услуг, в том числе за счет развития дистанционных сервисов;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адресной системы социального обслуживания и сопровождения детей с особенностями здоровья и семей, их воспитывающих;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условий для активного, независимого образа жизни лиц с ограниченными возможностями здоровья, а также толерантного отношения в обществе к ним;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работы по предоставлению гражданам старшего поколения качественных и востребованных социальных услуг, содействие обучению компьютерной грамотности;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доступности услуг общественных бань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а также укрепление материально – технической базы;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реализация права граждан на меры социальной поддержки при проезде на пассажирском транспорте;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эффективности системы отдыха и оздоровления детей и иной категории граждан.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Стимулирование развития жилищного строительства, формирование рынка доступного и комфортного жилья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создание условий для развития строительства жилья, удовлетворения </w:t>
      </w:r>
      <w:proofErr w:type="gramStart"/>
      <w:r>
        <w:rPr>
          <w:sz w:val="28"/>
          <w:szCs w:val="28"/>
        </w:rPr>
        <w:t xml:space="preserve">потребностей разных групп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proofErr w:type="gramEnd"/>
      <w:r>
        <w:rPr>
          <w:sz w:val="28"/>
          <w:szCs w:val="28"/>
        </w:rPr>
        <w:t xml:space="preserve"> в современном, доступном и качественном жилье; увеличение объемов жилищного строительства, в том числе за счет внедрения новых технологических решений, снижения себестоимости строительства;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эффективности использования земельных ресурсов, вовлечение в жилищное строительство неэффективно используемых земельных участков в муниципальной собственности, развитие индивидуального жилищного строительства;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внедрению новых современных, </w:t>
      </w:r>
      <w:proofErr w:type="spellStart"/>
      <w:r>
        <w:rPr>
          <w:sz w:val="28"/>
          <w:szCs w:val="28"/>
        </w:rPr>
        <w:t>энергоэффективных</w:t>
      </w:r>
      <w:proofErr w:type="spellEnd"/>
      <w:r>
        <w:rPr>
          <w:sz w:val="28"/>
          <w:szCs w:val="28"/>
        </w:rPr>
        <w:t xml:space="preserve"> и ресурсосберегающих технологий в производство строительных материалов, используемых в жилищном строительстве;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снижение административной нагрузки на застройщиков, совершенствование нормативно-правовой базы и порядка регулирования деятельности в сфере жилищного строительства;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проведение расселения граждан из аварийного жилищного фонда, реконструкции и капитального ремонта жилищного фонда;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конкуренции в управлении жилищным фондом и его обслуживании, повышение качества предоставляемых жилищно-коммунальных услуг, требований к качеству деятельности управляющих компаний, 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удовлетворение требований населения к качеству жилищно-коммунальных услуг, обеспечение бесперебойного функционирования </w:t>
      </w:r>
      <w:r>
        <w:rPr>
          <w:sz w:val="28"/>
          <w:szCs w:val="28"/>
        </w:rPr>
        <w:lastRenderedPageBreak/>
        <w:t>объектов коммунального комплекса и энергетики в период отопительного сезона и повышение уровня технической безопасности жилищного фонда;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уровня </w:t>
      </w:r>
      <w:proofErr w:type="spellStart"/>
      <w:r>
        <w:rPr>
          <w:sz w:val="28"/>
          <w:szCs w:val="28"/>
        </w:rPr>
        <w:t>энергобезопасности</w:t>
      </w:r>
      <w:proofErr w:type="spellEnd"/>
      <w:r>
        <w:rPr>
          <w:sz w:val="28"/>
          <w:szCs w:val="28"/>
        </w:rPr>
        <w:t xml:space="preserve"> за счет модернизации, реконструкции и строительства новых инженерных систем и сетей, снижения аварийности инженерной инфраструктуры и потерь энергоресурсов при их производстве и транспортировке;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3.1.2.</w:t>
      </w:r>
      <w:r>
        <w:rPr>
          <w:sz w:val="28"/>
          <w:szCs w:val="28"/>
        </w:rPr>
        <w:tab/>
        <w:t>Развитие конкурентоспособной экономики с высоким уровнем предпринимательской активности и конкуренции;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Укрепление и развитие важнейших конкурентных позиций города: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ускорении процессов цифровой трансформации экономики за счет внедрения цифровых технологий;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увеличению вклада </w:t>
      </w:r>
      <w:proofErr w:type="gramStart"/>
      <w:r>
        <w:rPr>
          <w:sz w:val="28"/>
          <w:szCs w:val="28"/>
        </w:rPr>
        <w:t>ИКТ-бизнеса</w:t>
      </w:r>
      <w:proofErr w:type="gramEnd"/>
      <w:r>
        <w:rPr>
          <w:sz w:val="28"/>
          <w:szCs w:val="28"/>
        </w:rPr>
        <w:t xml:space="preserve"> в экономику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созданию импортозамещающих производств;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созданию высокопроизводительных рабочих мест, повышению производительности труда и внедрению инструментов бережливого производства;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поддержка развития производства конкурентоспособной гражданской продукции на предприятиях оборонно-промышленного комплекса для увеличения загрузки производственных мощностей;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стимулирование технологического обновления и перевооружения субъектов деятельности в сфере промышленности; внедрение новых высокопроизводительных технологий;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устойчивого развития малого и среднего предпринимательства как резерва экономического роста;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повышению </w:t>
      </w:r>
      <w:proofErr w:type="spellStart"/>
      <w:r>
        <w:rPr>
          <w:sz w:val="28"/>
          <w:szCs w:val="28"/>
        </w:rPr>
        <w:t>энергобезопасности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энергоэффективности</w:t>
      </w:r>
      <w:proofErr w:type="spellEnd"/>
      <w:r>
        <w:rPr>
          <w:sz w:val="28"/>
          <w:szCs w:val="28"/>
        </w:rPr>
        <w:t xml:space="preserve"> в экономике и социальной сфере;</w:t>
      </w:r>
    </w:p>
    <w:p w:rsidR="0059287F" w:rsidRDefault="0059287F" w:rsidP="005928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содействие в обеспечении населения города продовольствием, безопасным и конкурентным по цене и своим потребительским свойствам, увеличение производства экологически чистых продуктов питания;</w:t>
      </w:r>
    </w:p>
    <w:p w:rsidR="0059287F" w:rsidRDefault="0059287F" w:rsidP="005928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создание условий для повышения конкурентоспособности перевозчиков, расширение использования передовых высокоэффективных транспортно-логистических технологий, содействие расширению ассортимента предоставляемых платных услуг, в том числе услуг образования, транспорта, медицинских и туристических, повышению их качества, а также увеличению их доступности для различных категорий граждан;</w:t>
      </w:r>
    </w:p>
    <w:p w:rsidR="0059287F" w:rsidRDefault="0059287F" w:rsidP="005928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реализация комплекса мер социального, экономического, нормативно-правового, информационного и организационного характера, направленного на создание условий для эффективного развития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многоформатной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торговли, наиболее полного удовлетворения спроса населения на потребительские товары и услуги, в первую очередь отечественного производства, по доступным ценам;</w:t>
      </w:r>
    </w:p>
    <w:p w:rsidR="0059287F" w:rsidRDefault="0059287F" w:rsidP="005928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содействие в развитии туристического направления, развитие внутреннего и въездного туризма, в частности таких сегментов туристского рынка, спортивный, событийный, культурно-познавательный, экскурсионный, экологический и пляжный туризм.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создание условий для привлечения инвестиций, развития существующего бизнеса и реализации новых проектов;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мероприятий, направленных на повышение инвестиционной привлекательности города, в том числе за счет повышения уровня доступности и открытости информации, снижения административных барьеров, формирования инвестиционных площадок;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дальнейшем развитии строительно-производственной зоны Новосибирской агломерации;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эффективности распоряжения бюджетными ресурсами и муниципальным имуществом, в том числе обеспечение роста налогового потенциала и доходной базы бюджета города, исполнение всех действующих и вновь принимаемых обязательств, повышение эффективности использования бюджетных средств и направление высвобождаемых ресурсов на модернизацию и развитие;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продвижению продукции предприятий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внешние рынки путем информирования и привлечения к участию в оптово-розничных ярмарках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современной и безопасной среды для жизни посредством преображения города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рационального природопользования как основы экологической безопасности, высоких стандартов экологического благополучия: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сохранение благоприятной окружающей среды, биологического разнообразия и природных ресурсов для удовлетворения потребностей нынешнего и будущих поколений, реализации права каждого человека на благоприятную окружающую среду, укрепления правопорядка в области охраны окружающей среды и обеспечения экологической безопасности;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совершенствование системы обращения с отходами производства и потребления в городе, направленное на снижение негативного воздействия отходов производства и потребления на окружающую среду, в том числе с участием регионального оператора по обращению с твёрдыми коммунальными отходами;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сохранение природных систем города;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предупреждение и снижение негативных последствий, вызванных загрязнением окружающей среды опасными видами отходов;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экологической культуры и грамотности населения города;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мероприятий по охране окружающей среды в границах города;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организации деятельности по сбору, транспортированию, твердых коммунальных отходов, утилизации и обезвреживание ртутьсодержащих отходов;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проведение мероприятий, направленных  на ликвидацию накопленного экологического вреда путем ликвидации несанкционированных свалок в границах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содействие комплексному освоению территорий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и развитию застроенных территорий в целях жилищного строительства на основе утвержденной градостроительной документации;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строительству объектов инженерной, коммунальной, дорожной и общественной инфраструктуры, в том числе на территориях массовой жилой застройки;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внедрению передовых технологий и материалов в строительстве, современных </w:t>
      </w:r>
      <w:proofErr w:type="gramStart"/>
      <w:r>
        <w:rPr>
          <w:sz w:val="28"/>
          <w:szCs w:val="28"/>
        </w:rPr>
        <w:t>архитектурных решений</w:t>
      </w:r>
      <w:proofErr w:type="gramEnd"/>
      <w:r>
        <w:rPr>
          <w:sz w:val="28"/>
          <w:szCs w:val="28"/>
        </w:rPr>
        <w:t>, цифровых технологий в работу социальных объектов, общественного транспорта, коммунального хозяйства в целях обеспечения обновления городской среды;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населения качественной питьевой водой, дальнейшее развитие газификации;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результативности функционирования системы жилищно-коммунального хозяйства, обеспечение эффективной работы предприятий жилищно-коммунальной сферы;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бесперебойного функционирования объектов коммунального комплекса и энергетики в период отопительного сезона;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благоприятных условий для привлечения инвестиций в сферу жилищно-коммунального хозяйства в целях решения задач модернизации и повышения </w:t>
      </w:r>
      <w:proofErr w:type="spellStart"/>
      <w:r>
        <w:rPr>
          <w:sz w:val="28"/>
          <w:szCs w:val="28"/>
        </w:rPr>
        <w:t>энергоэффективности</w:t>
      </w:r>
      <w:proofErr w:type="spellEnd"/>
      <w:r>
        <w:rPr>
          <w:sz w:val="28"/>
          <w:szCs w:val="28"/>
        </w:rPr>
        <w:t xml:space="preserve"> объектов коммунального хозяйства;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в реализации проектов государственно-частного партнерства в коммунальной и социальной сфере;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условий для безопасного проживания граждан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путем снижения вероятности реализации угроз криминального, террористического, природного, техногенного и иного характера, обеспечение пожарной безопасности; укрепление общественной безопасности в городе;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 создании и развитии специализированных систем с использованием технических средств видеонаблюдения для обеспечения правопорядка и антитеррористической безопасности объектов социальной инфраструктуры;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содействие в выполнении необходимых мероприятий по ГО;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транспортных потребностей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пассажирских перевозках;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содействие в обновлении подвижного состава пассажирского транспорта;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достижения целей и целевых показателей федерального проекта «Безопасность дорожного движения» в части снижения количества погибших участников дорожного движения;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минимизация возможности совершения террористических актов на объектах возможных террористических посягательств, расположенных на территории города;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аварийности и повышения безопасности пассажирских перевозок;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и модернизация автомобильных дорог улично-дорожной сети и искусственных сооружений на ней;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обеспечение сохранности и восстановления улично-дорожной сети и искусственных сооружений на ней;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улично-дорожной сети по условиям безопасности дорожного движения, включая работы по организации дорожного движения;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дальнейшее обеспечение участия в реализации приоритетного проекта «Комфортная городская среда» и привлечении средств федерального и областного бюджетов на благоустройство городских парков;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комплексное благоустройство территории города,  в том числе дворовых территорий;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развитии современной информационной и телекоммуникационной инфраструктуры города.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3.1.3.</w:t>
      </w:r>
      <w:r>
        <w:rPr>
          <w:sz w:val="28"/>
          <w:szCs w:val="28"/>
        </w:rPr>
        <w:tab/>
        <w:t xml:space="preserve">Совершенствование муниципального управления процессами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целях обеспечения устойчивого развития экономики и социальной стабильности: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>
        <w:rPr>
          <w:sz w:val="28"/>
        </w:rPr>
        <w:t>стимулирование ТОС, инициативных групп граждан, СО НКО, к участию в социально-экономическом развитии города, сохранении общественно-политической стабильности на основе сбалансированности государственных и общественных интересов за счет повышения потенциала ТОС, инициативных групп граждан, СО НКО и обеспечения его эффективного использования;</w:t>
      </w:r>
    </w:p>
    <w:p w:rsidR="0059287F" w:rsidRDefault="0059287F" w:rsidP="0059287F">
      <w:pPr>
        <w:ind w:firstLine="709"/>
        <w:jc w:val="both"/>
        <w:rPr>
          <w:sz w:val="28"/>
        </w:rPr>
      </w:pPr>
      <w:r>
        <w:rPr>
          <w:sz w:val="28"/>
          <w:szCs w:val="28"/>
        </w:rPr>
        <w:t>– о</w:t>
      </w:r>
      <w:r>
        <w:rPr>
          <w:sz w:val="28"/>
        </w:rPr>
        <w:t>беспечение информационной, консультационной и методической поддержки представителей ТОС, инициативных групп граждан, СО НКО;</w:t>
      </w:r>
    </w:p>
    <w:p w:rsidR="0059287F" w:rsidRDefault="0059287F" w:rsidP="0059287F">
      <w:pPr>
        <w:ind w:firstLine="709"/>
        <w:jc w:val="both"/>
        <w:rPr>
          <w:sz w:val="28"/>
        </w:rPr>
      </w:pPr>
      <w:r>
        <w:rPr>
          <w:sz w:val="28"/>
          <w:szCs w:val="28"/>
        </w:rPr>
        <w:t>- с</w:t>
      </w:r>
      <w:r>
        <w:rPr>
          <w:sz w:val="28"/>
        </w:rPr>
        <w:t>тимулирование и поддержка ТОС, инициативных групп граждан, СО НКО, в том числе в рамках реализации ими социально значимых проектов и программ;</w:t>
      </w:r>
    </w:p>
    <w:p w:rsidR="0059287F" w:rsidRDefault="0059287F" w:rsidP="0059287F">
      <w:pPr>
        <w:ind w:firstLine="709"/>
        <w:jc w:val="both"/>
        <w:rPr>
          <w:sz w:val="28"/>
        </w:rPr>
      </w:pPr>
      <w:r>
        <w:rPr>
          <w:sz w:val="28"/>
          <w:szCs w:val="28"/>
        </w:rPr>
        <w:t>- с</w:t>
      </w:r>
      <w:r>
        <w:rPr>
          <w:sz w:val="28"/>
        </w:rPr>
        <w:t>овершенствование механизмов и повышение эффективности взаимодействия между органами местного самоуправления и институтами гражданского общества в развитии принципов государственно-общественного партнерства;</w:t>
      </w:r>
    </w:p>
    <w:p w:rsidR="0059287F" w:rsidRDefault="0059287F" w:rsidP="0059287F">
      <w:pPr>
        <w:ind w:firstLine="709"/>
        <w:jc w:val="both"/>
        <w:rPr>
          <w:sz w:val="28"/>
        </w:rPr>
      </w:pPr>
      <w:r>
        <w:rPr>
          <w:sz w:val="28"/>
        </w:rPr>
        <w:t>- повышение экономической, в том числе бюджетной, эффективности строительства объектов сферы образования, здравоохранения, спорта и культуры, в том числе, за счет расширения практики использования при проектировании и строительстве экономически эффективной проектной документации повторного применения и в перспективе типовых проектных решений;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качества и доступности предоставления государственных и муниципальных услуг, в том числе, в том числе на базе многофункционального центра организации предоставления государственных и муниципальных услуг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оптимизация процесса предоставления государственных и муниципальных услуг на территории Новосибирской области, в том числе для обеспечения предоставления их абсолютного большинства в режиме 24 часа в сутки 7 дней в неделю без необходимости личного присутствия граждан;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развитие, эксплуатация и популяризация механизмов предоставления муниципальных услуг в электронном виде;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совершенствование процедуры оценки регулирующего воздействия проектов нормативных правовых актов (далее – ОРВ) и экспертизы действующих нормативных правовых актов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развитие процедуры оценки применения обязательных требований, содержащихся в нормативных правовых актах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, популяризация института ОРВ;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контрольно-надзорной деятельности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улучшение состояния инвестиционного климата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>, обеспечение благоприятного инвестиционного климата, привлекательного для внутренних и внешних инвесторов, обеспечивающего рост инвестиционной активности хозяйствующих субъектов и способствующего ускорению темпов социально-экономического развития города в целом;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реализации национальных проектов, которые охватывают наиболее значимые для населения города сферы жизни: здравоохранение, цифровую экономику, образование, безопасные и качественные автомобильные дороги, и другие;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-активизация инвестиционных процессов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за счет развития механизмов стимулирования частных инвестиций, </w:t>
      </w:r>
      <w:proofErr w:type="spellStart"/>
      <w:r>
        <w:rPr>
          <w:sz w:val="28"/>
          <w:szCs w:val="28"/>
        </w:rPr>
        <w:t>муниципально</w:t>
      </w:r>
      <w:proofErr w:type="spellEnd"/>
      <w:r>
        <w:rPr>
          <w:sz w:val="28"/>
          <w:szCs w:val="28"/>
        </w:rPr>
        <w:t>-частного партнерства, эффективного вовлечения региональных институтов развития в инвестиционный процесс;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эффективности управления муниципальными земельными ресурсами, государственная собственность на которые не разграничена, а также иным имуществом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управления пассажирским транспортом;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качества обслуживания населения пассажирским транспортом;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роста, в том числе путем предоставления эффективных налоговых льгот и неналоговых мер государственной поддержки промышленным организациям;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благоприятных условий для развития субъектов малого и среднего предпринимательства, прежде всего в сфере материального производства, для повышения экономической и социальной эффективности их деятельности на территории города;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увеличение налогового потенциала и уровня собственных доходов бюджета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собираемости налогов и снижение уровня недоимки;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качества и эффективности управления бюджетными средствами;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межбюджетных отношений, укрепление самостоятельности бюджета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качества и эффективности управления муниципальным долгом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применение механизма налоговых расходов как одного из элементов финансового обеспечения муниципальных программ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во </w:t>
      </w:r>
      <w:r>
        <w:rPr>
          <w:sz w:val="28"/>
          <w:szCs w:val="28"/>
        </w:rPr>
        <w:lastRenderedPageBreak/>
        <w:t>взаимосвязи с конечным результатом их исполнения, в целях стимулирования экономического роста города, поддержки социально незащищенных слоев населения, стимулирования отдельных видов экономической активности, а также развития налогооблагаемой базы без увеличения уровня расходных обязательств местного бюджета;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обеспечение при формировании проекта бюджета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очередной финансовый год и на плановый период приоритетности определения бюджетных ассигнований местного бюджета на обеспечение реализации национальных проектов, муниципальных программ, обеспечивающих достижение целей и целевых показателей, выполнение задач, определенных Указом Президента Российской Федерации от 7 мая 2018 года № 204 «О национальных целях и стратегических задачах развития Российской Федерации на период до 2024</w:t>
      </w:r>
      <w:proofErr w:type="gramEnd"/>
      <w:r>
        <w:rPr>
          <w:sz w:val="28"/>
          <w:szCs w:val="28"/>
        </w:rPr>
        <w:t xml:space="preserve"> года», Указом Президента Российской Федерации от 21.07.2020 № 474 «О национальных целях развития Российской Федерации на период до 2030 года», гарантированное финансирование мероприятий, направленных на реализацию задач, поставленных Президентом Российской Федерации;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активное взаимодействие с региональными органами власти, государственными институтами развития, коммерческими структурами в целях привлечения средств федерального и областного бюджетов и внебюджетных источников на реализацию перспективных инфраструктурных, социальных, природоохранных и иных проектов, в том числе в рамках муниципальных программ и государственных программ Новосибирской области;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совершенствование институтов местного самоуправления для обеспечения их эффективной деятельности как необходимого условия полноценного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.</w:t>
      </w:r>
    </w:p>
    <w:p w:rsidR="0059287F" w:rsidRDefault="0059287F" w:rsidP="00715F96">
      <w:pPr>
        <w:rPr>
          <w:sz w:val="28"/>
        </w:rPr>
      </w:pPr>
      <w:r>
        <w:rPr>
          <w:sz w:val="28"/>
        </w:rPr>
        <w:br w:type="page"/>
      </w:r>
    </w:p>
    <w:p w:rsidR="0059287F" w:rsidRDefault="0059287F" w:rsidP="00715F96">
      <w:pPr>
        <w:rPr>
          <w:sz w:val="28"/>
        </w:rPr>
        <w:sectPr w:rsidR="0059287F" w:rsidSect="001D6AC6">
          <w:pgSz w:w="11906" w:h="16838" w:code="9"/>
          <w:pgMar w:top="1134" w:right="567" w:bottom="851" w:left="1701" w:header="720" w:footer="720" w:gutter="0"/>
          <w:cols w:space="720"/>
          <w:titlePg/>
          <w:docGrid w:linePitch="212"/>
        </w:sectPr>
      </w:pPr>
    </w:p>
    <w:p w:rsidR="0059287F" w:rsidRDefault="0059287F" w:rsidP="0059287F">
      <w:pPr>
        <w:pStyle w:val="ac"/>
        <w:widowControl w:val="0"/>
        <w:numPr>
          <w:ilvl w:val="1"/>
          <w:numId w:val="3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Основные параметры прогноза социально-экономического развития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87F" w:rsidRDefault="0059287F" w:rsidP="0059287F">
      <w:pPr>
        <w:widowControl w:val="0"/>
        <w:autoSpaceDE w:val="0"/>
        <w:autoSpaceDN w:val="0"/>
        <w:ind w:left="1074"/>
        <w:contextualSpacing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на 2024 год и плановый период 2025 и 2026 годов</w:t>
      </w:r>
    </w:p>
    <w:p w:rsidR="0059287F" w:rsidRDefault="0059287F" w:rsidP="0059287F">
      <w:pPr>
        <w:widowControl w:val="0"/>
        <w:autoSpaceDE w:val="0"/>
        <w:autoSpaceDN w:val="0"/>
        <w:jc w:val="center"/>
        <w:outlineLvl w:val="2"/>
        <w:rPr>
          <w:color w:val="C00000"/>
          <w:sz w:val="28"/>
          <w:szCs w:val="28"/>
        </w:rPr>
      </w:pPr>
    </w:p>
    <w:tbl>
      <w:tblPr>
        <w:tblW w:w="15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261"/>
        <w:gridCol w:w="1276"/>
        <w:gridCol w:w="851"/>
        <w:gridCol w:w="850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</w:tblGrid>
      <w:tr w:rsidR="0059287F" w:rsidTr="0059287F">
        <w:trPr>
          <w:trHeight w:val="162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Оценка 2023</w:t>
            </w: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года</w:t>
            </w:r>
          </w:p>
        </w:tc>
        <w:tc>
          <w:tcPr>
            <w:tcW w:w="89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Прогноз, годы</w:t>
            </w:r>
          </w:p>
        </w:tc>
      </w:tr>
      <w:tr w:rsidR="0059287F" w:rsidTr="0059287F">
        <w:trPr>
          <w:trHeight w:val="254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3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 постоянного населения (на конец года)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56 781</w:t>
            </w: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56 724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56 611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56 667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56 724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56 498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56 611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56 724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56 385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56 554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56 724</w:t>
            </w:r>
          </w:p>
        </w:tc>
      </w:tr>
      <w:tr w:rsidR="0059287F" w:rsidTr="0059287F">
        <w:trPr>
          <w:trHeight w:val="142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«производство и распределение электроэнергии, газа и воды»)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28 177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40 423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43 051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43 260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44 094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45 540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45 983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47 594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48 079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48 688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50 783</w:t>
            </w:r>
          </w:p>
        </w:tc>
      </w:tr>
      <w:tr w:rsidR="0059287F" w:rsidTr="0059287F">
        <w:trPr>
          <w:trHeight w:val="48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промышленного производства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 </w:t>
            </w: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104,2</w:t>
            </w:r>
          </w:p>
        </w:tc>
      </w:tr>
      <w:tr w:rsidR="0059287F" w:rsidTr="0059287F">
        <w:trPr>
          <w:trHeight w:val="431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цен производителей промышленных товаров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106,7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Оборот розничной торговли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7 346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7654,0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8307,0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8896,0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9335,0</w:t>
            </w:r>
          </w:p>
        </w:tc>
      </w:tr>
      <w:tr w:rsidR="0059287F" w:rsidTr="0059287F">
        <w:trPr>
          <w:trHeight w:val="649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физического объема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89,5</w:t>
            </w:r>
          </w:p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104,2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индекс-дефлятор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платных услуг населению</w:t>
            </w:r>
          </w:p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2657,0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физического объема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94,7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103,7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индекс-дефлятор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к предыдущему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работ, выполненных по виду деятельности «строительство»</w:t>
            </w:r>
          </w:p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1 109,0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1 135,9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1 138,0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1 143,1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1 140,1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1 145,3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1 154,9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1 152,3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1 154,3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1 174,5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физического объема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98,6</w:t>
            </w:r>
          </w:p>
        </w:tc>
      </w:tr>
      <w:tr w:rsidR="0059287F" w:rsidTr="0059287F">
        <w:trPr>
          <w:trHeight w:val="70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индекс-дефлятор</w:t>
            </w:r>
          </w:p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103,1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Инвестиции в основной капитал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1 891,3</w:t>
            </w:r>
          </w:p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1 902,9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1 921,9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1 925,8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1 950,9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1 951,4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1 959,3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2 018,5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1 981,6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1 999,4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2 084,4</w:t>
            </w:r>
          </w:p>
        </w:tc>
      </w:tr>
      <w:tr w:rsidR="0059287F" w:rsidTr="0059287F">
        <w:trPr>
          <w:trHeight w:val="143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физического объема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116,1</w:t>
            </w:r>
          </w:p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</w:t>
            </w:r>
          </w:p>
        </w:tc>
      </w:tr>
      <w:tr w:rsidR="0059287F" w:rsidTr="0059287F">
        <w:trPr>
          <w:trHeight w:val="631"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индекс-дефлятор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</w:tr>
      <w:tr w:rsidR="0059287F" w:rsidTr="0059287F">
        <w:trPr>
          <w:trHeight w:val="631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тыс.кв.м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14,628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19,1</w:t>
            </w:r>
          </w:p>
        </w:tc>
      </w:tr>
      <w:tr w:rsidR="0059287F" w:rsidTr="0059287F">
        <w:trPr>
          <w:trHeight w:val="53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Фонд заработной платы работников предприятий и организаций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7 753,7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8 927,1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9 085,0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9 176,4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9 569,8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9 929,9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10 185,8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10 258,8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10 853,4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11 306,3</w:t>
            </w:r>
          </w:p>
        </w:tc>
      </w:tr>
      <w:tr w:rsidR="0059287F" w:rsidTr="0059287F">
        <w:trPr>
          <w:trHeight w:val="535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</w:pPr>
            <w:r>
              <w:t>45 224,0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48 389,7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51 970,5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52 260,9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53 228,6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55 452,5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56 964,3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59 083,8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59 167,9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62 091,1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65 583,0</w:t>
            </w:r>
          </w:p>
        </w:tc>
      </w:tr>
      <w:tr w:rsidR="0059287F" w:rsidTr="0059287F">
        <w:trPr>
          <w:trHeight w:val="547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Среднесписочная численность работников, занятых в экономике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14,796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14,97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15,27</w:t>
            </w:r>
          </w:p>
        </w:tc>
      </w:tr>
      <w:tr w:rsidR="0059287F" w:rsidTr="0059287F">
        <w:trPr>
          <w:trHeight w:val="547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Перевезено пассажиров автомобильным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2 724,8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3 915,4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4 056,4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4 072,1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4 079,8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4 137,5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4 145,6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4 194,1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4 178,8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4 224,4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4 236,8</w:t>
            </w:r>
          </w:p>
        </w:tc>
      </w:tr>
      <w:tr w:rsidR="0059287F" w:rsidTr="0059287F">
        <w:trPr>
          <w:trHeight w:val="547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Перевезено грузов автомобильным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тонн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5 072,2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3 364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3 485,1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3 498,6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3 505,3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3 554,8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3 561,8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3 603,6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3 590,3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3 629,5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3 640,1</w:t>
            </w:r>
          </w:p>
        </w:tc>
      </w:tr>
    </w:tbl>
    <w:p w:rsidR="0059287F" w:rsidRDefault="0059287F" w:rsidP="00715F96">
      <w:pPr>
        <w:rPr>
          <w:sz w:val="28"/>
        </w:rPr>
      </w:pPr>
      <w:r>
        <w:rPr>
          <w:sz w:val="28"/>
        </w:rPr>
        <w:br w:type="page"/>
      </w:r>
    </w:p>
    <w:p w:rsidR="0059287F" w:rsidRDefault="0059287F" w:rsidP="00715F96">
      <w:pPr>
        <w:rPr>
          <w:sz w:val="28"/>
        </w:rPr>
        <w:sectPr w:rsidR="0059287F" w:rsidSect="0059287F">
          <w:pgSz w:w="16838" w:h="11906" w:orient="landscape" w:code="9"/>
          <w:pgMar w:top="567" w:right="851" w:bottom="709" w:left="1134" w:header="720" w:footer="720" w:gutter="0"/>
          <w:cols w:space="720"/>
          <w:titlePg/>
          <w:docGrid w:linePitch="212"/>
        </w:sectPr>
      </w:pPr>
    </w:p>
    <w:p w:rsidR="0059287F" w:rsidRPr="0059287F" w:rsidRDefault="0059287F" w:rsidP="0059287F">
      <w:pPr>
        <w:pStyle w:val="ac"/>
        <w:numPr>
          <w:ilvl w:val="1"/>
          <w:numId w:val="31"/>
        </w:num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287F">
        <w:rPr>
          <w:rFonts w:ascii="Times New Roman" w:hAnsi="Times New Roman" w:cs="Times New Roman"/>
          <w:sz w:val="28"/>
          <w:szCs w:val="28"/>
        </w:rPr>
        <w:lastRenderedPageBreak/>
        <w:t xml:space="preserve">Целевые показатели </w:t>
      </w:r>
      <w:proofErr w:type="gramStart"/>
      <w:r w:rsidRPr="0059287F">
        <w:rPr>
          <w:rFonts w:ascii="Times New Roman" w:hAnsi="Times New Roman" w:cs="Times New Roman"/>
          <w:sz w:val="28"/>
          <w:szCs w:val="28"/>
        </w:rPr>
        <w:t xml:space="preserve">прогноза социально-экономического развития города </w:t>
      </w:r>
      <w:proofErr w:type="spellStart"/>
      <w:r w:rsidRPr="0059287F"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 w:rsidRPr="0059287F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</w:p>
    <w:p w:rsidR="0059287F" w:rsidRPr="0059287F" w:rsidRDefault="0059287F" w:rsidP="0059287F">
      <w:pPr>
        <w:autoSpaceDE w:val="0"/>
        <w:autoSpaceDN w:val="0"/>
        <w:jc w:val="center"/>
        <w:rPr>
          <w:sz w:val="28"/>
          <w:szCs w:val="28"/>
        </w:rPr>
      </w:pPr>
      <w:r w:rsidRPr="0059287F">
        <w:rPr>
          <w:sz w:val="28"/>
          <w:szCs w:val="28"/>
        </w:rPr>
        <w:t>на 2024 год и плановый период 2025 и 2026 годов</w:t>
      </w:r>
    </w:p>
    <w:p w:rsidR="0059287F" w:rsidRDefault="0059287F" w:rsidP="0059287F">
      <w:pPr>
        <w:autoSpaceDE w:val="0"/>
        <w:autoSpaceDN w:val="0"/>
        <w:jc w:val="center"/>
        <w:rPr>
          <w:color w:val="C00000"/>
          <w:sz w:val="16"/>
          <w:szCs w:val="16"/>
        </w:rPr>
      </w:pPr>
    </w:p>
    <w:tbl>
      <w:tblPr>
        <w:tblW w:w="5200" w:type="pct"/>
        <w:tblInd w:w="-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0" w:type="dxa"/>
          <w:right w:w="60" w:type="dxa"/>
        </w:tblCellMar>
        <w:tblLook w:val="04A0" w:firstRow="1" w:lastRow="0" w:firstColumn="1" w:lastColumn="0" w:noHBand="0" w:noVBand="1"/>
      </w:tblPr>
      <w:tblGrid>
        <w:gridCol w:w="546"/>
        <w:gridCol w:w="2567"/>
        <w:gridCol w:w="1974"/>
        <w:gridCol w:w="1675"/>
        <w:gridCol w:w="1460"/>
        <w:gridCol w:w="1395"/>
        <w:gridCol w:w="1563"/>
      </w:tblGrid>
      <w:tr w:rsidR="0059287F" w:rsidTr="0059287F">
        <w:trPr>
          <w:trHeight w:val="396"/>
        </w:trPr>
        <w:tc>
          <w:tcPr>
            <w:tcW w:w="2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11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8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7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(ожидаемое значение)</w:t>
            </w:r>
          </w:p>
        </w:tc>
        <w:tc>
          <w:tcPr>
            <w:tcW w:w="19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Прогноз, годы</w:t>
            </w:r>
          </w:p>
        </w:tc>
      </w:tr>
      <w:tr w:rsidR="0059287F" w:rsidTr="0059287F">
        <w:trPr>
          <w:trHeight w:val="2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ind w:right="-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ind w:right="-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ind w:right="-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</w:tr>
      <w:tr w:rsidR="0059287F" w:rsidTr="0059287F">
        <w:trPr>
          <w:trHeight w:val="37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bookmarkStart w:id="2" w:name="OLE_LINK1"/>
            <w:r>
              <w:rPr>
                <w:sz w:val="28"/>
                <w:szCs w:val="28"/>
              </w:rPr>
              <w:t>1.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промышленного производства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142,9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</w:tr>
      <w:tr w:rsidR="0059287F" w:rsidTr="0059287F">
        <w:trPr>
          <w:trHeight w:val="414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производства продукции сельского хозяйства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2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96,6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95,8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96,5</w:t>
            </w:r>
          </w:p>
        </w:tc>
      </w:tr>
      <w:tr w:rsidR="0059287F" w:rsidTr="0059287F">
        <w:trPr>
          <w:trHeight w:val="2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тыс.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14,6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18,1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18,1</w:t>
            </w:r>
          </w:p>
        </w:tc>
      </w:tr>
      <w:tr w:rsidR="0059287F" w:rsidTr="0059287F">
        <w:trPr>
          <w:trHeight w:val="423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оборота розничной торговли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102,5</w:t>
            </w:r>
          </w:p>
        </w:tc>
      </w:tr>
      <w:tr w:rsidR="0059287F" w:rsidTr="0059287F">
        <w:trPr>
          <w:trHeight w:val="414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объема платных услуг населению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98,2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102,9</w:t>
            </w:r>
          </w:p>
        </w:tc>
      </w:tr>
      <w:tr w:rsidR="0059287F" w:rsidTr="0059287F">
        <w:trPr>
          <w:trHeight w:val="433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Инвестиции в основной капитал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млрд. рублей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1,90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1,95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1,98</w:t>
            </w:r>
          </w:p>
        </w:tc>
      </w:tr>
      <w:tr w:rsidR="0059287F" w:rsidTr="0059287F">
        <w:trPr>
          <w:trHeight w:val="424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Индекс инвестиций в основной капитал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%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предыдущему году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95,1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96,9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97,1</w:t>
            </w:r>
          </w:p>
        </w:tc>
      </w:tr>
      <w:tr w:rsidR="0059287F" w:rsidTr="0059287F">
        <w:trPr>
          <w:trHeight w:val="391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 постоянного населения (среднегодовая)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человек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56,7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56,5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56,4</w:t>
            </w:r>
          </w:p>
        </w:tc>
      </w:tr>
      <w:tr w:rsidR="0059287F" w:rsidTr="0059287F">
        <w:trPr>
          <w:trHeight w:val="426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Численность </w:t>
            </w:r>
            <w:proofErr w:type="gramStart"/>
            <w:r>
              <w:rPr>
                <w:sz w:val="28"/>
                <w:szCs w:val="28"/>
              </w:rPr>
              <w:t>занятых</w:t>
            </w:r>
            <w:proofErr w:type="gramEnd"/>
            <w:r>
              <w:rPr>
                <w:sz w:val="28"/>
                <w:szCs w:val="28"/>
              </w:rPr>
              <w:t xml:space="preserve"> в экономике (среднегодовая)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человек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25,45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25,1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24,9</w:t>
            </w:r>
          </w:p>
        </w:tc>
      </w:tr>
      <w:tr w:rsidR="0059287F" w:rsidTr="0059287F">
        <w:trPr>
          <w:trHeight w:val="37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Фонд заработной платы работников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млрд. рублей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8,3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10,3</w:t>
            </w:r>
          </w:p>
        </w:tc>
      </w:tr>
      <w:tr w:rsidR="0059287F" w:rsidTr="0059287F">
        <w:trPr>
          <w:trHeight w:val="412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Среднемесячная номинальная начисленная заработная плата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рублей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48 389,7</w:t>
            </w: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51 970,5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55 452,5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59 167,9</w:t>
            </w:r>
          </w:p>
        </w:tc>
      </w:tr>
      <w:bookmarkEnd w:id="2"/>
    </w:tbl>
    <w:p w:rsidR="0059287F" w:rsidRDefault="0059287F" w:rsidP="0059287F">
      <w:pPr>
        <w:ind w:left="720"/>
        <w:contextualSpacing/>
        <w:rPr>
          <w:color w:val="C00000"/>
          <w:sz w:val="28"/>
          <w:szCs w:val="28"/>
        </w:rPr>
      </w:pPr>
    </w:p>
    <w:p w:rsidR="0059287F" w:rsidRDefault="0059287F" w:rsidP="0059287F">
      <w:pPr>
        <w:ind w:left="720"/>
        <w:contextualSpacing/>
        <w:rPr>
          <w:color w:val="C00000"/>
          <w:sz w:val="28"/>
          <w:szCs w:val="28"/>
        </w:rPr>
      </w:pPr>
    </w:p>
    <w:p w:rsidR="0059287F" w:rsidRDefault="0059287F" w:rsidP="0059287F">
      <w:pPr>
        <w:jc w:val="center"/>
        <w:rPr>
          <w:color w:val="C00000"/>
          <w:sz w:val="28"/>
          <w:szCs w:val="28"/>
        </w:rPr>
      </w:pPr>
    </w:p>
    <w:p w:rsidR="0059287F" w:rsidRDefault="0059287F" w:rsidP="0059287F">
      <w:pPr>
        <w:jc w:val="center"/>
        <w:rPr>
          <w:color w:val="C00000"/>
          <w:sz w:val="28"/>
          <w:szCs w:val="28"/>
        </w:rPr>
      </w:pPr>
    </w:p>
    <w:p w:rsidR="0059287F" w:rsidRDefault="0059287F" w:rsidP="0059287F">
      <w:pPr>
        <w:rPr>
          <w:color w:val="C00000"/>
          <w:sz w:val="28"/>
          <w:szCs w:val="28"/>
        </w:rPr>
      </w:pPr>
      <w:r>
        <w:rPr>
          <w:color w:val="C00000"/>
          <w:sz w:val="28"/>
          <w:szCs w:val="28"/>
        </w:rPr>
        <w:br w:type="page"/>
      </w:r>
    </w:p>
    <w:p w:rsidR="0059287F" w:rsidRDefault="0059287F" w:rsidP="0059287F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3.4.</w:t>
      </w:r>
      <w:r>
        <w:rPr>
          <w:sz w:val="28"/>
          <w:szCs w:val="28"/>
        </w:rPr>
        <w:tab/>
        <w:t xml:space="preserve">Качественные характеристики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среднесрочный период</w:t>
      </w:r>
    </w:p>
    <w:p w:rsidR="0059287F" w:rsidRDefault="0059287F" w:rsidP="0059287F">
      <w:pPr>
        <w:rPr>
          <w:color w:val="C00000"/>
          <w:sz w:val="28"/>
          <w:szCs w:val="28"/>
        </w:rPr>
      </w:pP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proofErr w:type="gramStart"/>
      <w:r>
        <w:rPr>
          <w:sz w:val="28"/>
          <w:szCs w:val="28"/>
        </w:rPr>
        <w:t xml:space="preserve">Основные параметры Прогноза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2024-2026 гг. разработаны на вариативной основе с учетом оценки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2022 году и основных параметров прогноза социально-экономического развития, приоритетов социально-экономического развития Новосибирской области на 2024 год и плановый период 2025 и 2026 годов, рассмотренных и одобренных на заседании Правительства Новосибирской области, Стратегии 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 период</w:t>
      </w:r>
      <w:proofErr w:type="gramEnd"/>
      <w:r>
        <w:rPr>
          <w:sz w:val="28"/>
          <w:szCs w:val="28"/>
        </w:rPr>
        <w:t xml:space="preserve"> до 2030 года, утвержденной Решением </w:t>
      </w:r>
      <w:proofErr w:type="gramStart"/>
      <w:r>
        <w:rPr>
          <w:sz w:val="28"/>
          <w:szCs w:val="28"/>
        </w:rPr>
        <w:t xml:space="preserve">Совета депутатов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  <w:proofErr w:type="gramEnd"/>
      <w:r>
        <w:rPr>
          <w:sz w:val="28"/>
          <w:szCs w:val="28"/>
        </w:rPr>
        <w:t xml:space="preserve"> от  26.02.2020  № 314.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оценке в 2023 г. в городе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sz w:val="28"/>
          <w:szCs w:val="28"/>
        </w:rPr>
        <w:t xml:space="preserve"> планируется дальнейшее снижение численности населения. Снижение темпов прироста численности населения происходит как за счет естественной убыли населения, т.е. превышения количества смертей над числом рождений, так и за счет отсутствия значительного притока населения в город. </w:t>
      </w:r>
      <w:proofErr w:type="gramStart"/>
      <w:r>
        <w:rPr>
          <w:sz w:val="28"/>
          <w:szCs w:val="28"/>
        </w:rPr>
        <w:t>В связи со сложившейся неблагоприятной демографической ситуацией, основной стратегической задачей на перспективу развития города должны стать стабилизация, а в последствии и рост всех сфер экономики, развитие промышленности, малого и среднего предпринимательства, расширение рынка труда, вовлечение в трудовую деятельность безработных за счет создания новых рабочих мест, развитие социальной инфраструктуры города, улучшение социальных и бытовых условий граждан.</w:t>
      </w:r>
      <w:proofErr w:type="gramEnd"/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К концу 2023 года  во всех отраслях экономики города численность занятых ожидается 25 450  человек, что составляет 80,3% от численности трудоспособного населения в трудоспособном возрасте города.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Средняя заработная плата по городу в 2023 году составит 48 389,7 </w:t>
      </w:r>
      <w:r>
        <w:rPr>
          <w:szCs w:val="22"/>
        </w:rPr>
        <w:t xml:space="preserve"> </w:t>
      </w:r>
      <w:r>
        <w:rPr>
          <w:sz w:val="28"/>
          <w:szCs w:val="28"/>
        </w:rPr>
        <w:t>рублей.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Повышение уровня средней заработной платы работников в прогнозном периоде произойдет за счёт легализации заработной платы, получаемой в настоящее время в виде дополнительных выплат (неучтенные наличные денежные суммы, неофициальное трудоустройство), роста эффективности труда, применения ресурсосберегающих технологий, доведения оплаты труда до уровня средней заработной платы по видам экономической деятельности.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части оплаты труда работников бюджетного сектора в 2024 году  будет продолжена реализация мер по повышению оплаты труда отдельных категорий персонала (врачи, средний и младший медицинский персонал, учителя и воспитатели, работники культуры) в соответствии с Указом Президента Российской Федерации от 07.05.2012 г. № 597 «О мероприятиях по реализации государственной социальной политики».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Промышленность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Основой благополучия города, наполняемости бюджета и обеспечение выполнения всех социальных программ является промышленный комплекс города. Именно промышленность позволяет городу сохранить уровень умеренного развития.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В прогнозном периоде на фоне постепенного выхода экономики из кризисной ситуации, прогнозируется ежегодный рост объема отгруженных товаров промышленного производства.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Наибольший удельный вес в общем объеме производства промышленной продукции составляет продукция промышленности строительных материалов (54%). </w:t>
      </w:r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proofErr w:type="gramStart"/>
      <w:r>
        <w:rPr>
          <w:sz w:val="28"/>
          <w:szCs w:val="28"/>
        </w:rPr>
        <w:t>По оценке совокупный 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«производство и распределение электроэнергии, газа и воды») в 2023 году составит 40,4 млрд. рублей, что выше уровня 2022 года на 43,5%, индекс промышленного производства – 142,9%. За период 2024-2026 годов прогнозируется динамичное развитие промышленного производства.</w:t>
      </w:r>
      <w:proofErr w:type="gramEnd"/>
    </w:p>
    <w:p w:rsidR="0059287F" w:rsidRDefault="0059287F" w:rsidP="0059287F">
      <w:pPr>
        <w:ind w:firstLine="709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>На протяжении 9 месяцев  2023 года удерживали позиции по производству продукции ведущие предприятия стройиндустрии: АО «</w:t>
      </w:r>
      <w:proofErr w:type="spellStart"/>
      <w:r>
        <w:rPr>
          <w:sz w:val="28"/>
          <w:szCs w:val="28"/>
        </w:rPr>
        <w:t>Искитимцемент</w:t>
      </w:r>
      <w:proofErr w:type="spellEnd"/>
      <w:r>
        <w:rPr>
          <w:sz w:val="28"/>
          <w:szCs w:val="28"/>
        </w:rPr>
        <w:t>», АО «</w:t>
      </w:r>
      <w:proofErr w:type="spellStart"/>
      <w:r>
        <w:rPr>
          <w:sz w:val="28"/>
          <w:szCs w:val="28"/>
        </w:rPr>
        <w:t>Искитимизвесть</w:t>
      </w:r>
      <w:proofErr w:type="spellEnd"/>
      <w:r>
        <w:rPr>
          <w:sz w:val="28"/>
          <w:szCs w:val="28"/>
        </w:rPr>
        <w:t>»,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ООО «ЖБИ-5», ООО «</w:t>
      </w:r>
      <w:proofErr w:type="spellStart"/>
      <w:r>
        <w:rPr>
          <w:sz w:val="28"/>
          <w:szCs w:val="28"/>
        </w:rPr>
        <w:t>Брикстоун</w:t>
      </w:r>
      <w:proofErr w:type="spellEnd"/>
      <w:r>
        <w:rPr>
          <w:sz w:val="28"/>
          <w:szCs w:val="28"/>
        </w:rPr>
        <w:t>»</w:t>
      </w:r>
      <w:r>
        <w:rPr>
          <w:color w:val="C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ООО ПК «Кристалл», «ОП завод </w:t>
      </w:r>
      <w:proofErr w:type="spellStart"/>
      <w:r>
        <w:rPr>
          <w:sz w:val="28"/>
          <w:szCs w:val="28"/>
        </w:rPr>
        <w:t>Сибит</w:t>
      </w:r>
      <w:proofErr w:type="spellEnd"/>
      <w:r>
        <w:rPr>
          <w:sz w:val="28"/>
          <w:szCs w:val="28"/>
        </w:rPr>
        <w:t xml:space="preserve"> Южный»</w:t>
      </w:r>
      <w:r>
        <w:rPr>
          <w:color w:val="C00000"/>
          <w:sz w:val="28"/>
          <w:szCs w:val="28"/>
        </w:rPr>
        <w:t xml:space="preserve">. </w:t>
      </w:r>
      <w:r>
        <w:rPr>
          <w:sz w:val="28"/>
          <w:szCs w:val="28"/>
        </w:rPr>
        <w:t>Наибольший вклад в развитие отрасли вносит АО «</w:t>
      </w:r>
      <w:proofErr w:type="spellStart"/>
      <w:r>
        <w:rPr>
          <w:sz w:val="28"/>
          <w:szCs w:val="28"/>
        </w:rPr>
        <w:t>Искитимцемент</w:t>
      </w:r>
      <w:proofErr w:type="spellEnd"/>
      <w:r>
        <w:rPr>
          <w:sz w:val="28"/>
          <w:szCs w:val="28"/>
        </w:rPr>
        <w:t xml:space="preserve">» - его объем составляет 51%.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промышленных предприятий в числе актуальных задач на 2024 год остаются сохранение объемов производства на уровне 2023 года, модернизация и технологическое обновление, оптимизация затрат, рациональное использование ресурсов, сохранение производственного и кадрового потенциала, обеспечение опережающих темпов роста производительности труда.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Инвестиции. Строительство</w:t>
      </w:r>
    </w:p>
    <w:p w:rsidR="0059287F" w:rsidRDefault="0059287F" w:rsidP="0059287F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 году объем инвестиций в основной капитал за счет всех источников финансирования ожидается  на уровне  2022 года. </w:t>
      </w:r>
    </w:p>
    <w:p w:rsidR="0059287F" w:rsidRDefault="0059287F" w:rsidP="0059287F">
      <w:pPr>
        <w:tabs>
          <w:tab w:val="left" w:pos="11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планируемом периоде ожидается рост объема инвестиций в основном за счет расширения производства и технического перевооружения АО «НЗИВ», строительства </w:t>
      </w:r>
      <w:proofErr w:type="spellStart"/>
      <w:r>
        <w:rPr>
          <w:sz w:val="28"/>
          <w:szCs w:val="28"/>
        </w:rPr>
        <w:t>металлоперерабатывающего</w:t>
      </w:r>
      <w:proofErr w:type="spellEnd"/>
      <w:r>
        <w:rPr>
          <w:sz w:val="28"/>
          <w:szCs w:val="28"/>
        </w:rPr>
        <w:t xml:space="preserve"> предприятия, а также модернизации производственных процессов АО «</w:t>
      </w:r>
      <w:proofErr w:type="spellStart"/>
      <w:r>
        <w:rPr>
          <w:sz w:val="28"/>
          <w:szCs w:val="28"/>
        </w:rPr>
        <w:t>Искитимцемент</w:t>
      </w:r>
      <w:proofErr w:type="spellEnd"/>
      <w:r>
        <w:rPr>
          <w:sz w:val="28"/>
          <w:szCs w:val="28"/>
        </w:rPr>
        <w:t>» и АО «</w:t>
      </w:r>
      <w:proofErr w:type="spellStart"/>
      <w:r>
        <w:rPr>
          <w:sz w:val="28"/>
          <w:szCs w:val="28"/>
        </w:rPr>
        <w:t>Искитимизвесть</w:t>
      </w:r>
      <w:proofErr w:type="spellEnd"/>
      <w:r>
        <w:rPr>
          <w:sz w:val="28"/>
          <w:szCs w:val="28"/>
        </w:rPr>
        <w:t>».</w:t>
      </w:r>
    </w:p>
    <w:p w:rsidR="0059287F" w:rsidRDefault="0059287F" w:rsidP="0059287F">
      <w:pPr>
        <w:tabs>
          <w:tab w:val="left" w:pos="1140"/>
        </w:tabs>
        <w:ind w:firstLine="709"/>
        <w:jc w:val="both"/>
        <w:rPr>
          <w:sz w:val="28"/>
          <w:szCs w:val="28"/>
        </w:rPr>
      </w:pP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Инвестиции из бюджетов  всех уровней будут направлены:</w:t>
      </w:r>
    </w:p>
    <w:p w:rsidR="0059287F" w:rsidRDefault="0059287F" w:rsidP="0059287F">
      <w:pPr>
        <w:tabs>
          <w:tab w:val="left" w:pos="11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социальную сферу: ремонт школ и детских садов; реализация программы по</w:t>
      </w:r>
      <w:r>
        <w:rPr>
          <w:sz w:val="28"/>
          <w:szCs w:val="28"/>
          <w:shd w:val="clear" w:color="auto" w:fill="FFFFFF"/>
        </w:rPr>
        <w:t xml:space="preserve"> переселению граждан из ветхого и аварийного жилищного фонда;</w:t>
      </w:r>
    </w:p>
    <w:p w:rsidR="0059287F" w:rsidRDefault="0059287F" w:rsidP="0059287F">
      <w:pPr>
        <w:tabs>
          <w:tab w:val="left" w:pos="11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сферу жилищно-коммунального хозяйства: реализация мероприятий в рамках программ «Парки малых городов» и «Комфортная городская среда»;</w:t>
      </w:r>
    </w:p>
    <w:p w:rsidR="0059287F" w:rsidRDefault="0059287F" w:rsidP="0059287F">
      <w:pPr>
        <w:tabs>
          <w:tab w:val="left" w:pos="11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рамках приоритетного проекта  «Безопасные и качественные дороги»  государственной программы НСО «Развитие автомобильных дорог регионального, межмуниципального и местного значения Новосибирской области»: ремонт автомобильных дорог города.  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b/>
          <w:color w:val="C00000"/>
          <w:sz w:val="24"/>
          <w:szCs w:val="28"/>
        </w:rPr>
        <w:t xml:space="preserve">  </w:t>
      </w:r>
      <w:r>
        <w:rPr>
          <w:sz w:val="28"/>
          <w:szCs w:val="28"/>
        </w:rPr>
        <w:t xml:space="preserve">Значительный объем бюджетных инвестиций в прогнозном периоде планируется  направить на реализацию </w:t>
      </w:r>
      <w:r>
        <w:rPr>
          <w:bCs/>
          <w:iCs/>
          <w:sz w:val="28"/>
          <w:szCs w:val="28"/>
        </w:rPr>
        <w:t>национальной программы «Переселение из ветхого аварийного жилого фонда»</w:t>
      </w:r>
      <w:r>
        <w:rPr>
          <w:sz w:val="28"/>
          <w:szCs w:val="28"/>
        </w:rPr>
        <w:t>.</w:t>
      </w:r>
    </w:p>
    <w:p w:rsidR="0059287F" w:rsidRDefault="0059287F" w:rsidP="0059287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2024 году городом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 будет подана заявка на участие во Всероссийском конкурсе лучших проектов создания комфортной городской среды, проводимого с 2018 года по поручению Президента России. В случае победы  в конкурсе, в 2025-2026 годах в благоустройство общественного пространства города будут инвестированы как средства федерального бюджета, так и частные инвестиции.</w:t>
      </w:r>
    </w:p>
    <w:p w:rsidR="0059287F" w:rsidRDefault="0059287F" w:rsidP="0059287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C00000"/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За 2024 – 2026 годы планируется ввести в г. </w:t>
      </w:r>
      <w:proofErr w:type="spellStart"/>
      <w:r>
        <w:rPr>
          <w:sz w:val="28"/>
          <w:szCs w:val="28"/>
        </w:rPr>
        <w:t>Искитиме</w:t>
      </w:r>
      <w:proofErr w:type="spellEnd"/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>68</w:t>
      </w:r>
      <w:r>
        <w:rPr>
          <w:color w:val="C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жилья.</w:t>
      </w:r>
    </w:p>
    <w:p w:rsidR="0059287F" w:rsidRDefault="0059287F" w:rsidP="0059287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Торговля и услуги</w:t>
      </w:r>
    </w:p>
    <w:p w:rsidR="0059287F" w:rsidRDefault="0059287F" w:rsidP="005928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Несмотря на сложную экономическую ситуацию, в 2023 году индекс физического объема розничного товарооборота составит 100% к уровню 2022 года. В 2024 году ожидается незначительное снижение индекса оборота розничной торговли, а затем, начиная с 2025 года, ожидается его постепенный рост. Таким образом, индекс оборота розничной торговли в 2025 году  составит 100%, в 2026 году – 102,5 %.  К концу 2026 года оборот розничной торговли составит 8 896,0 </w:t>
      </w:r>
      <w:proofErr w:type="spellStart"/>
      <w:r>
        <w:rPr>
          <w:sz w:val="28"/>
          <w:szCs w:val="28"/>
        </w:rPr>
        <w:t>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. Учитывая рост заработной платы, в 2023-2026 годах ожидается рост объема платных услуг. По оценке 2023 года объем платных услуг  возрастет к уровню прошлого года и составит 2 130 млн. руб., а к концу 2026 года достигнет  2 636 </w:t>
      </w:r>
      <w:proofErr w:type="spellStart"/>
      <w:r>
        <w:rPr>
          <w:sz w:val="28"/>
          <w:szCs w:val="28"/>
        </w:rPr>
        <w:t>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59287F" w:rsidRDefault="0059287F" w:rsidP="00715F96">
      <w:pPr>
        <w:rPr>
          <w:sz w:val="28"/>
        </w:rPr>
      </w:pPr>
      <w:r>
        <w:rPr>
          <w:sz w:val="28"/>
        </w:rPr>
        <w:br w:type="page"/>
      </w:r>
    </w:p>
    <w:p w:rsidR="0059287F" w:rsidRDefault="0059287F" w:rsidP="00715F96">
      <w:pPr>
        <w:rPr>
          <w:sz w:val="28"/>
        </w:rPr>
        <w:sectPr w:rsidR="0059287F" w:rsidSect="0059287F">
          <w:pgSz w:w="11906" w:h="16838" w:code="9"/>
          <w:pgMar w:top="1134" w:right="567" w:bottom="851" w:left="709" w:header="720" w:footer="720" w:gutter="0"/>
          <w:cols w:space="720"/>
          <w:titlePg/>
          <w:docGrid w:linePitch="212"/>
        </w:sectPr>
      </w:pPr>
    </w:p>
    <w:p w:rsidR="0059287F" w:rsidRPr="0059287F" w:rsidRDefault="0059287F" w:rsidP="0059287F">
      <w:pPr>
        <w:pStyle w:val="ac"/>
        <w:widowControl w:val="0"/>
        <w:numPr>
          <w:ilvl w:val="0"/>
          <w:numId w:val="3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9287F">
        <w:rPr>
          <w:rFonts w:ascii="Times New Roman" w:hAnsi="Times New Roman" w:cs="Times New Roman"/>
          <w:sz w:val="28"/>
          <w:szCs w:val="28"/>
        </w:rPr>
        <w:lastRenderedPageBreak/>
        <w:t xml:space="preserve">Основные параметры муниципальных программ города </w:t>
      </w:r>
      <w:proofErr w:type="spellStart"/>
      <w:r w:rsidRPr="0059287F"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 w:rsidRPr="0059287F">
        <w:rPr>
          <w:rFonts w:ascii="Times New Roman" w:hAnsi="Times New Roman" w:cs="Times New Roman"/>
          <w:sz w:val="28"/>
          <w:szCs w:val="28"/>
        </w:rPr>
        <w:t xml:space="preserve">, предлагаемых к финансированию </w:t>
      </w:r>
    </w:p>
    <w:p w:rsidR="0059287F" w:rsidRPr="0059287F" w:rsidRDefault="0059287F" w:rsidP="0059287F">
      <w:pPr>
        <w:widowControl w:val="0"/>
        <w:autoSpaceDE w:val="0"/>
        <w:autoSpaceDN w:val="0"/>
        <w:jc w:val="center"/>
        <w:outlineLvl w:val="2"/>
        <w:rPr>
          <w:sz w:val="28"/>
          <w:szCs w:val="28"/>
        </w:rPr>
      </w:pPr>
      <w:r w:rsidRPr="0059287F">
        <w:rPr>
          <w:sz w:val="28"/>
          <w:szCs w:val="28"/>
        </w:rPr>
        <w:t>в 2024 году и плановом периоде 2025 и 2026 годов</w:t>
      </w:r>
    </w:p>
    <w:p w:rsidR="0059287F" w:rsidRDefault="0059287F" w:rsidP="0059287F">
      <w:pPr>
        <w:widowControl w:val="0"/>
        <w:autoSpaceDE w:val="0"/>
        <w:autoSpaceDN w:val="0"/>
        <w:jc w:val="center"/>
        <w:outlineLvl w:val="2"/>
        <w:rPr>
          <w:color w:val="C00000"/>
          <w:sz w:val="28"/>
          <w:szCs w:val="28"/>
        </w:rPr>
      </w:pPr>
    </w:p>
    <w:tbl>
      <w:tblPr>
        <w:tblW w:w="15735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6803"/>
        <w:gridCol w:w="92"/>
        <w:gridCol w:w="1592"/>
        <w:gridCol w:w="2121"/>
        <w:gridCol w:w="2121"/>
        <w:gridCol w:w="2156"/>
      </w:tblGrid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 измерения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малого и среднего предпринимательства в городе </w:t>
            </w:r>
            <w:proofErr w:type="spellStart"/>
            <w:r>
              <w:rPr>
                <w:sz w:val="28"/>
                <w:szCs w:val="28"/>
              </w:rPr>
              <w:t>Искитиме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Количество субъектов малого и среднего предпринимательства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1 719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1 729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1 739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 занятых на малых и средних предприятиях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6 734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6 796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6 831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объема </w:t>
            </w:r>
            <w:proofErr w:type="gramStart"/>
            <w:r>
              <w:rPr>
                <w:sz w:val="28"/>
                <w:szCs w:val="28"/>
              </w:rPr>
              <w:t>СМ</w:t>
            </w:r>
            <w:proofErr w:type="gramEnd"/>
            <w:r>
              <w:rPr>
                <w:sz w:val="28"/>
                <w:szCs w:val="28"/>
              </w:rPr>
              <w:t xml:space="preserve"> и СП в общем объеме выпуска товаров, работ, услуг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</w:t>
            </w:r>
            <w:proofErr w:type="gramStart"/>
            <w:r>
              <w:rPr>
                <w:sz w:val="28"/>
                <w:szCs w:val="28"/>
              </w:rPr>
              <w:t>СМ</w:t>
            </w:r>
            <w:proofErr w:type="gramEnd"/>
            <w:r>
              <w:rPr>
                <w:sz w:val="28"/>
                <w:szCs w:val="28"/>
              </w:rPr>
              <w:t xml:space="preserve"> и СП, получивших муниципальную поддержку в рамках реализации мероприятий муниципальной программы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молодежной политики в городе </w:t>
            </w:r>
            <w:proofErr w:type="spellStart"/>
            <w:r>
              <w:rPr>
                <w:sz w:val="28"/>
                <w:szCs w:val="28"/>
              </w:rPr>
              <w:t>Искитиме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 </w:t>
            </w:r>
          </w:p>
        </w:tc>
      </w:tr>
      <w:tr w:rsidR="0059287F" w:rsidTr="0059287F">
        <w:trPr>
          <w:trHeight w:val="14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Увеличение числа молодежи, вовлеченной в социально-экономическую, общественно-политическую и культурную жизнь города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11 420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11 785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12 130</w:t>
            </w:r>
          </w:p>
        </w:tc>
      </w:tr>
      <w:tr w:rsidR="0059287F" w:rsidTr="0059287F">
        <w:trPr>
          <w:trHeight w:val="48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числа молодежи, вовлеченной в мероприятия, акции по профилактике наркомании, алкоголизма, курения, пропаганде здорового образа жизни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2 565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2 800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жилищно-коммунального хозяйства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Удовлетворенность населения города деятельностью Главы в сфере жилищно-коммунального обслуживания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Удельный вес общей площади жилого фонда, оборудованного водопроводом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94,6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Удельный вес общей площади жилого фонда, оборудованного горячим водоснабжением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Удельный вес общей площади жилого фонда, оборудованного центральным отоплением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Удельный вес общей площади жилого фонда, оборудованного водоотведением (канализацией)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90,7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91,7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92,7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3.6.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Уровень газификации жилищного фонда в г. </w:t>
            </w:r>
            <w:proofErr w:type="spellStart"/>
            <w:r>
              <w:rPr>
                <w:sz w:val="28"/>
                <w:szCs w:val="28"/>
              </w:rPr>
              <w:t>Искитиме</w:t>
            </w:r>
            <w:proofErr w:type="spellEnd"/>
            <w:r>
              <w:rPr>
                <w:sz w:val="28"/>
                <w:szCs w:val="28"/>
              </w:rPr>
              <w:t xml:space="preserve"> природным газом (из расчетной потребности)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3.7.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муниципального задания МБУ «</w:t>
            </w:r>
            <w:proofErr w:type="spellStart"/>
            <w:r>
              <w:rPr>
                <w:sz w:val="28"/>
                <w:szCs w:val="28"/>
              </w:rPr>
              <w:t>УБиДХ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3.8.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Снос аварийных жилых домов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</w:t>
            </w:r>
            <w:proofErr w:type="gramStart"/>
            <w:r>
              <w:rPr>
                <w:sz w:val="28"/>
                <w:szCs w:val="28"/>
              </w:rPr>
              <w:t xml:space="preserve">системы образования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программ дополнительного образования технической направленности реализуемых в образовательных организациях города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ед.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программ дополнительного образования естественнонаучной направленности, реализуемых в образовательных организациях города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ОО, заключивших договоры сетевого взаимодействия с детским технопарком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Кванториум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4.4.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обучающихся по образовательным программам, реализуемым на базе детского технопарка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Кванториум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1 500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4.5.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ОО, прошедших конкурсный отбор на открытие специализированных классов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4.6.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Доля обучающихся, участвовавших в каникулярных школах, сдавших ЕГЭ с результатом ТБ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выше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4.7.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выпускников школ, заключивших договора о целевом обучении в НГПУ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4.8.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договоров, заключенных ОО  в рамках участия в общественной программе «Учитель для России»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4.9.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молодых педагогов, для которых организованно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менторство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наставничество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4.10.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Доля молодых педагогов, которым оказаны меры социальной поддержки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4.11.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руководителей ОО, повысивших квалификационную категорию 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4.12.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управленческих команд ОО, прошедших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повышение квалификации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4.13.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11"/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сотрудников МКУ «УО и МП», повысивших квалификацию в соответствии с современными требованиями 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4.14.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>, вовлеченных в мероприятия военно-патриотической направленности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4.15.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обучающихся, вовлеченных в Российское движение школьников, движение «</w:t>
            </w:r>
            <w:proofErr w:type="spellStart"/>
            <w:r>
              <w:rPr>
                <w:sz w:val="28"/>
                <w:szCs w:val="28"/>
              </w:rPr>
              <w:t>Юнармия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4.16.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>, вовлеченных в волонтерское и добровольческое движение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4.17.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обучающихся, вовлеченных в реализацию проектов «Билет в будущее», «</w:t>
            </w:r>
            <w:proofErr w:type="spellStart"/>
            <w:r>
              <w:rPr>
                <w:sz w:val="28"/>
                <w:szCs w:val="28"/>
              </w:rPr>
              <w:t>ПроеКТОриЯ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4.18.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классных руководителей, участвующих в мероприятиях проекта «Школа классных руководителей»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4.19.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классных руководителей, прошедших курсы повышения квалификации по  направлению «воспитание»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4.20.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классных руководителей, принявших участие в конкурсе </w:t>
            </w:r>
            <w:r>
              <w:rPr>
                <w:sz w:val="28"/>
                <w:szCs w:val="28"/>
                <w:lang w:eastAsia="en-US"/>
              </w:rPr>
              <w:t xml:space="preserve">«Самый классный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классный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4.21.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ОО, участвующих в региональном  конкурсе «Семья-школа-социум»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4.22.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Доля дошкольных образовательных организаций,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участвующих в мероприятиях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клуба молодых семей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4.23.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родителей (законных представителей), участвующих в мероприятиях клуба молодых семей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4.24.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оказанных услуг психолого-педагогической консультативной помощи родителям (законным представителям) образовательными организациями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8 740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11 215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4.25.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 старше 14 лет, оформивших «Пушкинскую карту»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4.26.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>, воспользовавшихся «Пушкинской картой»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4.27.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ОО, в </w:t>
            </w:r>
            <w:proofErr w:type="gramStart"/>
            <w:r>
              <w:rPr>
                <w:sz w:val="28"/>
                <w:szCs w:val="28"/>
              </w:rPr>
              <w:t>которых</w:t>
            </w:r>
            <w:proofErr w:type="gramEnd"/>
            <w:r>
              <w:rPr>
                <w:sz w:val="28"/>
                <w:szCs w:val="28"/>
              </w:rPr>
              <w:t xml:space="preserve"> работает школьный музей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4.28.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ОО, </w:t>
            </w:r>
            <w:proofErr w:type="gramStart"/>
            <w:r>
              <w:rPr>
                <w:sz w:val="28"/>
                <w:szCs w:val="28"/>
              </w:rPr>
              <w:t>реализующих</w:t>
            </w:r>
            <w:proofErr w:type="gramEnd"/>
            <w:r>
              <w:rPr>
                <w:sz w:val="28"/>
                <w:szCs w:val="28"/>
              </w:rPr>
              <w:t xml:space="preserve"> программы дополнительного образования «Школьный театр»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4.29.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>, включенных в реализацию проекта «Школьный театр»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4.30.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ОО, 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которых организована работа Школьных Спортивных Клубов (ШСК)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4.31.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ШСК, участвующих в Президентских играх, Президентских состязаниях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4.32.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>, выполнивших нормативы ГТО от общей численности обучающихся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4.33.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работников ОО, выполнивших нормативы ГТО от общей численности работников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4.34.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 и воспитанников, систематически посещающих занятия физкультурно-спортивной направленности в рамках дополнительного образования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4.35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 и воспитанников, охваченных летней оздоровительной кампанией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4.36.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 и воспитанников, находящихся в сложной жизненной ситуации, охваченных летней оздоровительной кампанией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4.37.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>, охваченных горячим питанием в ОО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4.38.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Удовлетворенность качеством питания в ОО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4.39.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образовательных организаций, соответствующих установленным нормативным требованиям, от общего числа ОО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Культура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 на 2019-2024 годы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5.1.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Отношение средней заработной платы работников культуры и преподавателей дополнительного образования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к средней заработной плате в Новосибирской области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% (работники культуры)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4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% (преподаватели дополнительного </w:t>
            </w:r>
            <w:r>
              <w:rPr>
                <w:sz w:val="26"/>
                <w:szCs w:val="26"/>
              </w:rPr>
              <w:lastRenderedPageBreak/>
              <w:t xml:space="preserve">образования)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100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5.2.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Уровень комплектования книжных фондов общедоступных библиотек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 от международного норматива (ЮНЕСКО) (ежегодно)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3,6 (500 экз.)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5.3.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зданий муниципальных учреждений культуры, находящихся в удовлетворительном состоянии (не требующих противоаварийных и восстановительных работ)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 (от общего числа зданий учреждений культуры, ежегодно)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60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5.4.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Уровень удовлетворенности граждан, проживающих в городе </w:t>
            </w:r>
            <w:proofErr w:type="spellStart"/>
            <w:r>
              <w:rPr>
                <w:sz w:val="28"/>
                <w:szCs w:val="28"/>
              </w:rPr>
              <w:t>Искитиме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области, качеством предоставления услуг в сфере культуры</w:t>
            </w:r>
          </w:p>
        </w:tc>
        <w:tc>
          <w:tcPr>
            <w:tcW w:w="1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94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4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1988/ 2122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5.5.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численности участников культурно-досуговых мероприятий</w:t>
            </w:r>
          </w:p>
        </w:tc>
        <w:tc>
          <w:tcPr>
            <w:tcW w:w="1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 (по сравнению с предыдущим годом)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101,3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4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190747/188299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5.6.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доли детей, привлекаемых к участию в творческих мероприятиях, в общем числе детей</w:t>
            </w:r>
          </w:p>
        </w:tc>
        <w:tc>
          <w:tcPr>
            <w:tcW w:w="1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 (от общей численности детей до 17 лет)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14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rPr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1214/12083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5.7.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Посещаемость музея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посещений на 1 жителя в год (от </w:t>
            </w:r>
            <w:r>
              <w:rPr>
                <w:sz w:val="28"/>
                <w:szCs w:val="28"/>
              </w:rPr>
              <w:lastRenderedPageBreak/>
              <w:t>общей численности населения)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0,64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5.8.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культурно-досуговых мероприятий, направленных на развитие творческого потенциала граждан, проводимых в рамках муниципальной программы (ежегодно)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мероприятий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35786/55915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5.9.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проведенных в городе культурных мероприятий областного, всероссийского и международного уровня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ед.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5.10.</w:t>
            </w: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участников молодых талантов во всероссийских и международных творческих состязаниях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(ежегодно)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Защита населения и территории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от чрезвычайных ситуаций, обеспечения пожарной безопасности и безопасности людей на водных объектах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области. 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color w:val="C00000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Количество аварийных остановок оконечных устройств МАСЦО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color w:val="C00000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Снижение количества погибших людей на пожарах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Снижение количества погибших людей воде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color w:val="C00000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</w:rPr>
              <w:t xml:space="preserve">Количество подготовленных руководителей и специалистов, работающих в системе ГОЧС            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Не менее 200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Не менее 200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 менее 200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Поддержание созданных резервов финансовых и материальных ресурсов для ликвидации ЧС  и первоочередного жизнеобеспечения населения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6.6.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Выполнение муниципального задания МБУ «СГЗН»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Социальная поддержка жителей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граждан пожилого возраста, вовлеченных в мероприятия по поддержанию их социальной активности и адаптации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tabs>
                <w:tab w:val="left" w:pos="360"/>
                <w:tab w:val="center" w:pos="564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tabs>
                <w:tab w:val="left" w:pos="360"/>
                <w:tab w:val="center" w:pos="564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tabs>
                <w:tab w:val="left" w:pos="360"/>
                <w:tab w:val="center" w:pos="564"/>
              </w:tabs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семей с детьми, находящихся в социально опасном положении, в общей численности семей с детьми, состоящих на учете в органах социальной защиты населения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детей, отдохнувших и оздоровленных в летний период от общего количества детей, проживающих в городе и подлежащих оздоровлению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приоритетных объектов, в которых обеспечен беспрепятственный доступ инвалидов и маломобильных групп населения, в общем количестве приоритетных объектов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инвалидов, получивших социальные услуги по различным направлениям в соответствии с индивидуальными программами реабилитации инвалида 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7.6.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граждан, оказавшихся в трудной жизненной ситуации, получивших социальную поддержку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менее</w:t>
            </w:r>
          </w:p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7.7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граждан, признанных нуждающимися и получивших социальные услуги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менее 4000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физической культуры и спорта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граждан в возрасте 3 - 29 лет, систематически занимающихся физической культурой и спортом, в </w:t>
            </w:r>
            <w:r>
              <w:rPr>
                <w:sz w:val="28"/>
                <w:szCs w:val="28"/>
              </w:rPr>
              <w:lastRenderedPageBreak/>
              <w:t>общей численности граждан данной возрастной категории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%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84,9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граждан в возрасте от 30 до 54 лет включительно (женщины) и до 59 лет включительно (мужчины),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49,1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53,4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55,3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граждан в возрасте от 55 лет (женщины) и от 60 лет (мужчины) до 79 лет включительно,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%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28,9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граждан трудоспособного возраста, систематически занимающихся физической культурой и спортом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%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49,1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51,7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не имеющего противопоказаний для занятий физической культурой и спортом, 3 - 79 лет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8.6.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проведенных официальных городских, областных, региональных физкультурных и спортивных мероприятий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8.7.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Уровень обеспеченности населения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65,8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8.8.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объектов физической культуры и спорта, в </w:t>
            </w:r>
            <w:r>
              <w:rPr>
                <w:sz w:val="28"/>
                <w:szCs w:val="28"/>
              </w:rPr>
              <w:lastRenderedPageBreak/>
              <w:t>которых укреплена материально-техническая база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8.9.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жителей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>, выполнивших нормативы Всероссийского физкультурно-оздоровительного комплекса "Готов к труду и обороне" (ГТО), в общей численности жителей, принявших участие в сдаче данных нормативов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50,9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досуга, отдыха и оздоровления детей, а также иных категорий граждан</w:t>
            </w:r>
          </w:p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детей, охваченных организованными формами отдыха и оздоровления в каникулярное время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чел.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7F" w:rsidRDefault="0059287F">
            <w:pPr>
              <w:pStyle w:val="p1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детей, находящихся в трудной жизненной ситуации, охваченных организованными формами отдыха и оздоровления в каникулярное время</w:t>
            </w:r>
          </w:p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9.3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взрослых граждан (старше 18), вовлеченных в организованные формы досуга, отдыха и оздоровления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объектов МАУ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ЦОиО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«Лесная сказка», в которых укреплена и модернизирована материально-техническая база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ед. в год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Патриотическое воспитание граждан в городе </w:t>
            </w:r>
            <w:proofErr w:type="spellStart"/>
            <w:r>
              <w:rPr>
                <w:sz w:val="28"/>
                <w:szCs w:val="28"/>
              </w:rPr>
              <w:t>Искитиме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членов местного отделения ВВПОД «</w:t>
            </w:r>
            <w:proofErr w:type="spellStart"/>
            <w:r>
              <w:rPr>
                <w:sz w:val="28"/>
                <w:szCs w:val="28"/>
              </w:rPr>
              <w:t>Юнармия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граждан, принявших участие в мероприятиях патриотической направленности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11825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12106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12377</w:t>
            </w:r>
          </w:p>
        </w:tc>
      </w:tr>
      <w:tr w:rsidR="0059287F" w:rsidTr="0059287F">
        <w:trPr>
          <w:trHeight w:val="73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качества обслуживания и обеспечение доступности услуг общественного пассажирского транспорта для населения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</w:p>
        </w:tc>
      </w:tr>
      <w:tr w:rsidR="0059287F" w:rsidTr="0059287F">
        <w:trPr>
          <w:trHeight w:val="18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 поездок на 1 человека в год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поездки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267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приобретенных (обновленных) автобусов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льготных пассажиров, перевезенных городским пассажирским транспортом, от общего количества перевезенных пассажиров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Удовлетворенность населения деятельностью главы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в сфере организации транспортного обслуживания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53,0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53,5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современной городской среды на 2018 — 2024 годы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благоустроенных дворовых территорий в рамках муниципальной программы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ед.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12.2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благоустроенных дворовых территорий в рамках муниципальной программы от общего количества дворовых территорий, %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%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1,2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 благоустроенных общественных территорий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2372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Составление итогового документа - Паспорта благоустройства территории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Информирование населения о деятельности органов местного самоуправления на территории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НПА, </w:t>
            </w:r>
            <w:proofErr w:type="gramStart"/>
            <w:r>
              <w:rPr>
                <w:sz w:val="28"/>
                <w:szCs w:val="28"/>
              </w:rPr>
              <w:t>опубликованных</w:t>
            </w:r>
            <w:proofErr w:type="gramEnd"/>
            <w:r>
              <w:rPr>
                <w:sz w:val="28"/>
                <w:szCs w:val="28"/>
              </w:rPr>
              <w:t xml:space="preserve"> в газете «</w:t>
            </w:r>
            <w:proofErr w:type="spellStart"/>
            <w:r>
              <w:rPr>
                <w:sz w:val="28"/>
                <w:szCs w:val="28"/>
              </w:rPr>
              <w:t>Искитимские</w:t>
            </w:r>
            <w:proofErr w:type="spellEnd"/>
            <w:r>
              <w:rPr>
                <w:sz w:val="28"/>
                <w:szCs w:val="28"/>
              </w:rPr>
              <w:t xml:space="preserve"> ведомости» и на официальном сайте администрации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>, от числа утвержденных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ежедневных новостных материалов, размещаемых на официальном сайте администрации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менее 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менее 6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менее 7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информационно-аналитических телепередач, вышедших в эфир, с участием органов местного самоуправления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трансляций на телевидении (радио) заказных сюжетов в программе «Новости»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встреч, проведенных представителями органов местного самоуправления, с населением (выездные встречи по микрорайонам)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Поддержка территориального общественного самоуправления, инициативных групп граждан, социально ориентированных некоммерческих организаций на территории города </w:t>
            </w:r>
            <w:proofErr w:type="spell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ind w:left="1" w:hang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 семинаров, тренингов, мастер-классов, консультаций, направленных на повышение профессионализма активистов ТОС,  инициативных групп граждан, представителей СО НКО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информационных материалов, опубликованных на официальном сайте администрации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и (или) в социальных сетях, посвященных деятельности ТОС, инициативных групп граждан, СО НКО;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14.6.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сообщений в СМИ о деятельности ТОС, инициативных групп граждан, СО НКО, реализующих социально значимые инициативы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14.7.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ТОС,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зарегистрированных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14.8.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населения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>, проживающего на территории, охваченной деятельностью ТОС, инициативных групп граждан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14.9.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населения, участвующего в деятельности СО НКО, инициативных групп граждан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3 200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3 300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3 400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14.10.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органов ТОС, инициативных групп граждан, СО НКО, подавших заявки на участие в конкурсах социально значимых проектов;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представителей ТОС, СО НКО, инициативных групп граждан, принявших участие в городских мероприятиях, направленных на повышение мотивации граждан к активной деятельности и эффективному взаимодействию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13 000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14 000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органов ТОС, СО НКО, инициативных групп граждан – получателей имущественной и финансовой поддержки на осуществление ими деятельности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социально значимых мероприятий, организованных органами ТОС, СО НСО, инициативными группами граждан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Охрана окружающей среды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выбросов твердых загрязняющих веществ  в атмосферу города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тонн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903,074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ind w:right="-14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выбросов газообразных загрязняющих веществ  в атмосферу  города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тонн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ind w:left="-67" w:right="-149" w:firstLine="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204,233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ind w:left="-67" w:right="-14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1 490,8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ind w:left="-67" w:right="-14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 подтапливаемых объектов недвижимости </w:t>
            </w:r>
            <w:r>
              <w:rPr>
                <w:sz w:val="28"/>
                <w:szCs w:val="28"/>
              </w:rPr>
              <w:lastRenderedPageBreak/>
              <w:t xml:space="preserve">(жилых домов)  на  территории города в районе расположения р. </w:t>
            </w:r>
            <w:proofErr w:type="spellStart"/>
            <w:r>
              <w:rPr>
                <w:sz w:val="28"/>
                <w:szCs w:val="28"/>
              </w:rPr>
              <w:t>Бердь</w:t>
            </w:r>
            <w:proofErr w:type="spellEnd"/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ind w:left="-67" w:right="-149" w:firstLine="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ind w:left="-67" w:right="-14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сбросов загрязняющих веществ в городскую канализацию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тонн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Объем сбросов загрязняющих веществ в р. </w:t>
            </w:r>
            <w:proofErr w:type="spellStart"/>
            <w:r>
              <w:rPr>
                <w:sz w:val="28"/>
                <w:szCs w:val="28"/>
              </w:rPr>
              <w:t>Бердь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тонн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26,52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15.6.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утилизированных отходов 1 класса опасности, образующихся у населения и бюджетных организаций города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4 500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4 500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4 500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15.7.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утилизированных отходов 2 класса опасности, образующихся у населения и бюджетных организаций города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кг</w:t>
            </w:r>
            <w:proofErr w:type="gram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15.8.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ликвидированных  </w:t>
            </w:r>
            <w:proofErr w:type="gramStart"/>
            <w:r>
              <w:rPr>
                <w:sz w:val="28"/>
                <w:szCs w:val="28"/>
              </w:rPr>
              <w:t>объектов несанкционированного  размещения   отходов   производства потребления</w:t>
            </w:r>
            <w:proofErr w:type="gramEnd"/>
            <w:r>
              <w:rPr>
                <w:sz w:val="28"/>
                <w:szCs w:val="28"/>
              </w:rPr>
              <w:t xml:space="preserve"> на территории города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15.9.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 территорий города, подвергнутых санитарной очистке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15.10.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высаженных деревьев на территории города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15.11.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выпусков ежегодного доклада  «О состоянии окружающей среды 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доступности услуг общественных бань для населения 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Общее количество </w:t>
            </w:r>
            <w:proofErr w:type="spellStart"/>
            <w:r>
              <w:rPr>
                <w:sz w:val="28"/>
                <w:szCs w:val="28"/>
              </w:rPr>
              <w:t>помывок</w:t>
            </w:r>
            <w:proofErr w:type="spellEnd"/>
            <w:r>
              <w:rPr>
                <w:sz w:val="28"/>
                <w:szCs w:val="28"/>
              </w:rPr>
              <w:t xml:space="preserve"> в год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9 283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9 376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</w:t>
            </w:r>
            <w:proofErr w:type="spellStart"/>
            <w:r>
              <w:rPr>
                <w:sz w:val="28"/>
                <w:szCs w:val="28"/>
              </w:rPr>
              <w:t>помывок</w:t>
            </w:r>
            <w:proofErr w:type="spellEnd"/>
            <w:r>
              <w:rPr>
                <w:sz w:val="28"/>
                <w:szCs w:val="28"/>
              </w:rPr>
              <w:t xml:space="preserve">, предоставленных льготным категориям граждан, от общего объема </w:t>
            </w:r>
            <w:proofErr w:type="spellStart"/>
            <w:r>
              <w:rPr>
                <w:sz w:val="28"/>
                <w:szCs w:val="28"/>
              </w:rPr>
              <w:t>помывок</w:t>
            </w:r>
            <w:proofErr w:type="spellEnd"/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помещений в зданиях общественных бань, </w:t>
            </w:r>
            <w:r>
              <w:rPr>
                <w:sz w:val="28"/>
                <w:szCs w:val="28"/>
              </w:rPr>
              <w:lastRenderedPageBreak/>
              <w:t>находящихся в удовлетворительном состоянии (не требующих противоаварийных и восстановительных работ)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17.</w:t>
            </w:r>
          </w:p>
        </w:tc>
        <w:tc>
          <w:tcPr>
            <w:tcW w:w="14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дорожного хозяйства и повышение безопасности дорожного движения на автомобильных дорогах </w:t>
            </w:r>
          </w:p>
          <w:p w:rsidR="0059287F" w:rsidRDefault="0059287F">
            <w:pPr>
              <w:autoSpaceDE w:val="0"/>
              <w:autoSpaceDN w:val="0"/>
              <w:adjustRightInd w:val="0"/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города </w:t>
            </w:r>
            <w:proofErr w:type="spellStart"/>
            <w:r>
              <w:rPr>
                <w:sz w:val="28"/>
                <w:szCs w:val="28"/>
              </w:rPr>
              <w:t>Искитима</w:t>
            </w:r>
            <w:proofErr w:type="spellEnd"/>
            <w:r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Удовлетворенность населения города деятельностью Главы в сфере качества автомобильных дорог.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47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17.2.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Протяженность участков автомобильных дорог общего пользования местного значения, приведенных в соответствие современным требованиям.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км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1,5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1,2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1,3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17.3.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Доля автомобильных дорог общего пользования местного значения, соответствующих нормативным требованиям к транспортно-эксплуатационным показателям.  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12,64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14,02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15,52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17.4.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Количество пешеходных переходов, обустроенных в соответствии с нормативами на дорогах общего пользования.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59287F" w:rsidTr="0059287F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287F" w:rsidRDefault="0059287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17.5.</w:t>
            </w:r>
          </w:p>
        </w:tc>
        <w:tc>
          <w:tcPr>
            <w:tcW w:w="6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Снижение уровня аварийности пассажирских перевозок путем повышения безопасности дорожного движения на автомобильных дорогах.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spacing w:line="360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7F" w:rsidRDefault="005928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</w:tr>
    </w:tbl>
    <w:p w:rsidR="0059287F" w:rsidRDefault="0059287F" w:rsidP="00715F96">
      <w:pPr>
        <w:rPr>
          <w:sz w:val="28"/>
        </w:rPr>
      </w:pPr>
    </w:p>
    <w:sectPr w:rsidR="0059287F" w:rsidSect="0059287F">
      <w:pgSz w:w="16838" w:h="11906" w:orient="landscape" w:code="9"/>
      <w:pgMar w:top="567" w:right="851" w:bottom="709" w:left="1134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2C4" w:rsidRDefault="000F22C4">
      <w:r>
        <w:separator/>
      </w:r>
    </w:p>
  </w:endnote>
  <w:endnote w:type="continuationSeparator" w:id="0">
    <w:p w:rsidR="000F22C4" w:rsidRDefault="000F2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2C4" w:rsidRDefault="000F22C4">
      <w:r>
        <w:separator/>
      </w:r>
    </w:p>
  </w:footnote>
  <w:footnote w:type="continuationSeparator" w:id="0">
    <w:p w:rsidR="000F22C4" w:rsidRDefault="000F22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5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7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D2F0284"/>
    <w:multiLevelType w:val="multilevel"/>
    <w:tmpl w:val="793A2E3E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9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10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2"/>
  </w:num>
  <w:num w:numId="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5"/>
  </w:num>
  <w:num w:numId="8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1"/>
  </w:num>
  <w:num w:numId="1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</w:num>
  <w:num w:numId="28">
    <w:abstractNumId w:val="10"/>
  </w:num>
  <w:num w:numId="29">
    <w:abstractNumId w:val="9"/>
  </w:num>
  <w:num w:numId="30">
    <w:abstractNumId w:val="7"/>
  </w:num>
  <w:num w:numId="31">
    <w:abstractNumId w:val="8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24CA0"/>
    <w:rsid w:val="00043165"/>
    <w:rsid w:val="000511DF"/>
    <w:rsid w:val="000901B0"/>
    <w:rsid w:val="0009265D"/>
    <w:rsid w:val="00092833"/>
    <w:rsid w:val="000A66A6"/>
    <w:rsid w:val="000B4D9F"/>
    <w:rsid w:val="000B501C"/>
    <w:rsid w:val="000B7620"/>
    <w:rsid w:val="000C2669"/>
    <w:rsid w:val="000F22C4"/>
    <w:rsid w:val="000F4E34"/>
    <w:rsid w:val="00101304"/>
    <w:rsid w:val="00105A5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552E"/>
    <w:rsid w:val="00230681"/>
    <w:rsid w:val="00244A9A"/>
    <w:rsid w:val="002734EB"/>
    <w:rsid w:val="002755C2"/>
    <w:rsid w:val="00280013"/>
    <w:rsid w:val="00286F28"/>
    <w:rsid w:val="002A6906"/>
    <w:rsid w:val="002B003D"/>
    <w:rsid w:val="002F4451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D671A"/>
    <w:rsid w:val="003E0638"/>
    <w:rsid w:val="00400125"/>
    <w:rsid w:val="00401461"/>
    <w:rsid w:val="00423BE4"/>
    <w:rsid w:val="0042767A"/>
    <w:rsid w:val="00430D96"/>
    <w:rsid w:val="00445BF4"/>
    <w:rsid w:val="00457E63"/>
    <w:rsid w:val="00487A70"/>
    <w:rsid w:val="004928FF"/>
    <w:rsid w:val="004A7A20"/>
    <w:rsid w:val="004B11F2"/>
    <w:rsid w:val="004B33B5"/>
    <w:rsid w:val="004D47EF"/>
    <w:rsid w:val="004E0C62"/>
    <w:rsid w:val="004E5553"/>
    <w:rsid w:val="004F206F"/>
    <w:rsid w:val="004F6B92"/>
    <w:rsid w:val="00522AF2"/>
    <w:rsid w:val="00524A44"/>
    <w:rsid w:val="0053089E"/>
    <w:rsid w:val="005601AE"/>
    <w:rsid w:val="00565430"/>
    <w:rsid w:val="00576985"/>
    <w:rsid w:val="0059287F"/>
    <w:rsid w:val="0059545A"/>
    <w:rsid w:val="005B180F"/>
    <w:rsid w:val="005E38E7"/>
    <w:rsid w:val="005F0022"/>
    <w:rsid w:val="006357B6"/>
    <w:rsid w:val="006612EB"/>
    <w:rsid w:val="00664926"/>
    <w:rsid w:val="00667F53"/>
    <w:rsid w:val="00672FF1"/>
    <w:rsid w:val="006918EE"/>
    <w:rsid w:val="00693E9D"/>
    <w:rsid w:val="0069690C"/>
    <w:rsid w:val="006A637E"/>
    <w:rsid w:val="006C29E8"/>
    <w:rsid w:val="006E6D6E"/>
    <w:rsid w:val="006E7B9D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53060"/>
    <w:rsid w:val="00762CFE"/>
    <w:rsid w:val="00781F1F"/>
    <w:rsid w:val="00795795"/>
    <w:rsid w:val="00797B03"/>
    <w:rsid w:val="007A16EC"/>
    <w:rsid w:val="007A5439"/>
    <w:rsid w:val="007C036F"/>
    <w:rsid w:val="007D540B"/>
    <w:rsid w:val="007D5E82"/>
    <w:rsid w:val="007E0C72"/>
    <w:rsid w:val="007F7EC5"/>
    <w:rsid w:val="00815012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E604A"/>
    <w:rsid w:val="008E72AD"/>
    <w:rsid w:val="0090254F"/>
    <w:rsid w:val="00903973"/>
    <w:rsid w:val="00971032"/>
    <w:rsid w:val="009902EA"/>
    <w:rsid w:val="00995D4D"/>
    <w:rsid w:val="009B012C"/>
    <w:rsid w:val="009B35A0"/>
    <w:rsid w:val="009C29E4"/>
    <w:rsid w:val="009D442B"/>
    <w:rsid w:val="009F303A"/>
    <w:rsid w:val="00A44175"/>
    <w:rsid w:val="00A67263"/>
    <w:rsid w:val="00AA6963"/>
    <w:rsid w:val="00AB2D01"/>
    <w:rsid w:val="00AB6272"/>
    <w:rsid w:val="00AC2FF7"/>
    <w:rsid w:val="00AF25DD"/>
    <w:rsid w:val="00B03C81"/>
    <w:rsid w:val="00B114D3"/>
    <w:rsid w:val="00B16C85"/>
    <w:rsid w:val="00B17B99"/>
    <w:rsid w:val="00B3271F"/>
    <w:rsid w:val="00B611A0"/>
    <w:rsid w:val="00B835F8"/>
    <w:rsid w:val="00B84DA6"/>
    <w:rsid w:val="00B92BBC"/>
    <w:rsid w:val="00BA1B2E"/>
    <w:rsid w:val="00BA2717"/>
    <w:rsid w:val="00BB12DA"/>
    <w:rsid w:val="00BE7508"/>
    <w:rsid w:val="00C069CB"/>
    <w:rsid w:val="00C11E71"/>
    <w:rsid w:val="00C32CBD"/>
    <w:rsid w:val="00C32EC5"/>
    <w:rsid w:val="00C57291"/>
    <w:rsid w:val="00C66753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5F18"/>
    <w:rsid w:val="00D514EC"/>
    <w:rsid w:val="00D53E40"/>
    <w:rsid w:val="00D61BA5"/>
    <w:rsid w:val="00D70CBD"/>
    <w:rsid w:val="00D764E6"/>
    <w:rsid w:val="00D93BEB"/>
    <w:rsid w:val="00DA1587"/>
    <w:rsid w:val="00DE41E4"/>
    <w:rsid w:val="00DE5633"/>
    <w:rsid w:val="00DF53B8"/>
    <w:rsid w:val="00E175E3"/>
    <w:rsid w:val="00E3079D"/>
    <w:rsid w:val="00E45AA3"/>
    <w:rsid w:val="00E47C15"/>
    <w:rsid w:val="00E5725B"/>
    <w:rsid w:val="00E664D3"/>
    <w:rsid w:val="00E701DB"/>
    <w:rsid w:val="00E703E1"/>
    <w:rsid w:val="00E70E6F"/>
    <w:rsid w:val="00E9028E"/>
    <w:rsid w:val="00E915BD"/>
    <w:rsid w:val="00EC0162"/>
    <w:rsid w:val="00EC3D46"/>
    <w:rsid w:val="00EF006E"/>
    <w:rsid w:val="00F55C35"/>
    <w:rsid w:val="00F55DFC"/>
    <w:rsid w:val="00F8575D"/>
    <w:rsid w:val="00FA3221"/>
    <w:rsid w:val="00FA6909"/>
    <w:rsid w:val="00FD1E12"/>
    <w:rsid w:val="00FD1F21"/>
    <w:rsid w:val="00FD7DEE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287F"/>
    <w:rPr>
      <w:b/>
      <w:sz w:val="24"/>
    </w:rPr>
  </w:style>
  <w:style w:type="character" w:customStyle="1" w:styleId="20">
    <w:name w:val="Заголовок 2 Знак"/>
    <w:basedOn w:val="a0"/>
    <w:link w:val="2"/>
    <w:rsid w:val="0059287F"/>
    <w:rPr>
      <w:b/>
      <w:sz w:val="22"/>
    </w:rPr>
  </w:style>
  <w:style w:type="paragraph" w:styleId="a3">
    <w:name w:val="Body Text"/>
    <w:basedOn w:val="a"/>
    <w:link w:val="a4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59287F"/>
    <w:rPr>
      <w:sz w:val="24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79D"/>
  </w:style>
  <w:style w:type="character" w:styleId="a7">
    <w:name w:val="page number"/>
    <w:basedOn w:val="a0"/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87F"/>
  </w:style>
  <w:style w:type="paragraph" w:styleId="aa">
    <w:name w:val="Balloon Text"/>
    <w:basedOn w:val="a"/>
    <w:link w:val="ab"/>
    <w:uiPriority w:val="99"/>
    <w:rsid w:val="009D442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9D442B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d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e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f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link w:val="ConsPlusNormal"/>
    <w:locked/>
    <w:rsid w:val="0059287F"/>
    <w:rPr>
      <w:rFonts w:ascii="Calibri" w:hAnsi="Calibri" w:cs="Calibri"/>
      <w:sz w:val="22"/>
    </w:rPr>
  </w:style>
  <w:style w:type="paragraph" w:customStyle="1" w:styleId="af0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f1">
    <w:name w:val="Emphasis"/>
    <w:basedOn w:val="a0"/>
    <w:qFormat/>
    <w:rsid w:val="0059287F"/>
    <w:rPr>
      <w:i/>
      <w:iCs/>
    </w:rPr>
  </w:style>
  <w:style w:type="character" w:customStyle="1" w:styleId="3">
    <w:name w:val="Основной текст с отступом 3 Знак"/>
    <w:basedOn w:val="a0"/>
    <w:link w:val="30"/>
    <w:rsid w:val="0059287F"/>
    <w:rPr>
      <w:sz w:val="16"/>
      <w:szCs w:val="16"/>
    </w:rPr>
  </w:style>
  <w:style w:type="paragraph" w:styleId="30">
    <w:name w:val="Body Text Indent 3"/>
    <w:basedOn w:val="a"/>
    <w:link w:val="3"/>
    <w:unhideWhenUsed/>
    <w:rsid w:val="0059287F"/>
    <w:pPr>
      <w:spacing w:after="120"/>
      <w:ind w:left="283"/>
    </w:pPr>
    <w:rPr>
      <w:sz w:val="16"/>
      <w:szCs w:val="16"/>
    </w:rPr>
  </w:style>
  <w:style w:type="character" w:customStyle="1" w:styleId="af2">
    <w:name w:val="Без интервала Знак"/>
    <w:link w:val="af3"/>
    <w:uiPriority w:val="1"/>
    <w:locked/>
    <w:rsid w:val="0059287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No Spacing"/>
    <w:link w:val="af2"/>
    <w:uiPriority w:val="1"/>
    <w:qFormat/>
    <w:rsid w:val="0059287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Обычный1"/>
    <w:rsid w:val="0059287F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customStyle="1" w:styleId="p17">
    <w:name w:val="p17"/>
    <w:basedOn w:val="a"/>
    <w:rsid w:val="0059287F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9287F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287F"/>
    <w:rPr>
      <w:b/>
      <w:sz w:val="24"/>
    </w:rPr>
  </w:style>
  <w:style w:type="character" w:customStyle="1" w:styleId="20">
    <w:name w:val="Заголовок 2 Знак"/>
    <w:basedOn w:val="a0"/>
    <w:link w:val="2"/>
    <w:rsid w:val="0059287F"/>
    <w:rPr>
      <w:b/>
      <w:sz w:val="22"/>
    </w:rPr>
  </w:style>
  <w:style w:type="paragraph" w:styleId="a3">
    <w:name w:val="Body Text"/>
    <w:basedOn w:val="a"/>
    <w:link w:val="a4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59287F"/>
    <w:rPr>
      <w:sz w:val="24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79D"/>
  </w:style>
  <w:style w:type="character" w:styleId="a7">
    <w:name w:val="page number"/>
    <w:basedOn w:val="a0"/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87F"/>
  </w:style>
  <w:style w:type="paragraph" w:styleId="aa">
    <w:name w:val="Balloon Text"/>
    <w:basedOn w:val="a"/>
    <w:link w:val="ab"/>
    <w:uiPriority w:val="99"/>
    <w:rsid w:val="009D442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9D442B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d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e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f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link w:val="ConsPlusNormal"/>
    <w:locked/>
    <w:rsid w:val="0059287F"/>
    <w:rPr>
      <w:rFonts w:ascii="Calibri" w:hAnsi="Calibri" w:cs="Calibri"/>
      <w:sz w:val="22"/>
    </w:rPr>
  </w:style>
  <w:style w:type="paragraph" w:customStyle="1" w:styleId="af0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f1">
    <w:name w:val="Emphasis"/>
    <w:basedOn w:val="a0"/>
    <w:qFormat/>
    <w:rsid w:val="0059287F"/>
    <w:rPr>
      <w:i/>
      <w:iCs/>
    </w:rPr>
  </w:style>
  <w:style w:type="character" w:customStyle="1" w:styleId="3">
    <w:name w:val="Основной текст с отступом 3 Знак"/>
    <w:basedOn w:val="a0"/>
    <w:link w:val="30"/>
    <w:rsid w:val="0059287F"/>
    <w:rPr>
      <w:sz w:val="16"/>
      <w:szCs w:val="16"/>
    </w:rPr>
  </w:style>
  <w:style w:type="paragraph" w:styleId="30">
    <w:name w:val="Body Text Indent 3"/>
    <w:basedOn w:val="a"/>
    <w:link w:val="3"/>
    <w:unhideWhenUsed/>
    <w:rsid w:val="0059287F"/>
    <w:pPr>
      <w:spacing w:after="120"/>
      <w:ind w:left="283"/>
    </w:pPr>
    <w:rPr>
      <w:sz w:val="16"/>
      <w:szCs w:val="16"/>
    </w:rPr>
  </w:style>
  <w:style w:type="character" w:customStyle="1" w:styleId="af2">
    <w:name w:val="Без интервала Знак"/>
    <w:link w:val="af3"/>
    <w:uiPriority w:val="1"/>
    <w:locked/>
    <w:rsid w:val="0059287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No Spacing"/>
    <w:link w:val="af2"/>
    <w:uiPriority w:val="1"/>
    <w:qFormat/>
    <w:rsid w:val="0059287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Обычный1"/>
    <w:rsid w:val="0059287F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customStyle="1" w:styleId="p17">
    <w:name w:val="p17"/>
    <w:basedOn w:val="a"/>
    <w:rsid w:val="0059287F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9287F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1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1</TotalTime>
  <Pages>43</Pages>
  <Words>11066</Words>
  <Characters>63080</Characters>
  <Application>Microsoft Office Word</Application>
  <DocSecurity>0</DocSecurity>
  <Lines>525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73999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2023-11-15T02:01:00Z</cp:lastPrinted>
  <dcterms:created xsi:type="dcterms:W3CDTF">2023-11-15T03:13:00Z</dcterms:created>
  <dcterms:modified xsi:type="dcterms:W3CDTF">2023-11-15T03:13:00Z</dcterms:modified>
</cp:coreProperties>
</file>