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20746E0C" w:rsidR="002036E9" w:rsidRPr="00595035" w:rsidRDefault="00254D80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203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реализация мероприятий по организации тепло-, водоснабжения, водоотведения населения г</w:t>
            </w:r>
            <w:proofErr w:type="gram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.И</w:t>
            </w:r>
            <w:proofErr w:type="gram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скитима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200DAB2C" w14:textId="77777777" w:rsidR="00B272DF" w:rsidRDefault="00B272DF" w:rsidP="00A62074">
            <w:pPr>
              <w:suppressAutoHyphens/>
              <w:ind w:firstLine="720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B272D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="002036E9"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      </w:r>
            <w:r w:rsidR="002036E9" w:rsidRPr="002036E9">
              <w:rPr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1BECC50E" w14:textId="62D9FF96" w:rsidR="002036E9" w:rsidRPr="002036E9" w:rsidRDefault="00B272DF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>на создание и поддержание нормативных запасов топлива на муниципальных источниках тепловой энергии в период подгтовки к отопительному периоду и его прохождения.</w:t>
            </w:r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1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2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2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1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3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3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(ых)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4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4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(ых) решения (й) о взыскании задолженности в пользу поставщика топливно-</w:t>
            </w:r>
            <w:r w:rsidRPr="000A4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5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5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износа основных средств, задействованных непосредственно в организации тепло-, водоснабжения, водоотведения населения г</w:t>
            </w:r>
            <w:proofErr w:type="gram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скитима: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595035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8DD6372" w:rsidR="00F9507E" w:rsidRPr="00254D80" w:rsidRDefault="002C551A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551A">
              <w:rPr>
                <w:b/>
                <w:bCs/>
                <w:i/>
                <w:iCs/>
                <w:sz w:val="24"/>
                <w:szCs w:val="24"/>
              </w:rPr>
              <w:t>Март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3D01D1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3027AE78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1946BE">
              <w:rPr>
                <w:sz w:val="24"/>
                <w:szCs w:val="24"/>
              </w:rPr>
              <w:t>1</w:t>
            </w:r>
            <w:r w:rsidR="00FB1E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67E9FE09" w14:textId="6270545B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27C3BFEE" w14:textId="31EEAD3F" w:rsidR="00F9507E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20.02.23 года до 09:00 26.03.23 года;</w:t>
            </w:r>
          </w:p>
          <w:p w14:paraId="2C7906A8" w14:textId="35D588CC" w:rsidR="00EB40D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Апрель 2023 года</w:t>
            </w:r>
          </w:p>
          <w:p w14:paraId="5BEDCE41" w14:textId="76C9DD66" w:rsid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20.03.23 года до 09:00 19.04.23 года;</w:t>
            </w:r>
          </w:p>
          <w:p w14:paraId="393F8CDD" w14:textId="46C0ED76" w:rsidR="00EB40D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Май 2023 года</w:t>
            </w:r>
          </w:p>
          <w:p w14:paraId="7262A0A8" w14:textId="0B98DC75" w:rsid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21.04.23 года до 09:00 22.05.23 года;</w:t>
            </w:r>
          </w:p>
          <w:p w14:paraId="024E3984" w14:textId="68664048" w:rsidR="00EB40D7" w:rsidRP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24.04.23 года до 09:00 24.05.23 года;</w:t>
            </w:r>
          </w:p>
          <w:p w14:paraId="01EB628F" w14:textId="5D10AB73" w:rsidR="00012F50" w:rsidRPr="00012F50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6766BB3E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года;</w:t>
            </w:r>
          </w:p>
          <w:p w14:paraId="5B531643" w14:textId="665F2B33" w:rsidR="00631618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02FA8C72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275D3FA" w14:textId="759775F8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.09.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2D521ED9" w14:textId="4A034D90" w:rsidR="00631618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2</w:t>
            </w:r>
            <w:r w:rsidR="00EB40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47F34209" w14:textId="74C0AC44" w:rsidR="009B1E14" w:rsidRDefault="009B1E1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Октябрь 2023 года</w:t>
            </w:r>
          </w:p>
          <w:p w14:paraId="2149FA1A" w14:textId="76B8EEF0" w:rsidR="009B1E14" w:rsidRPr="009B1E14" w:rsidRDefault="009B1E14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12.10.23 года до 09:00 22.10.23 года;</w:t>
            </w:r>
          </w:p>
          <w:p w14:paraId="0397E535" w14:textId="38110A48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7D50F4D4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.11.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D05355B" w14:textId="20115045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.11.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4BDCE2B0" w14:textId="6AD5432B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EB40D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.11.2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18EAF20C" w14:textId="049B9ADD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252BBF09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.11.2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.12.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54AECD31" w14:textId="2E88E15B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>11.2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.12.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5102A53F" w14:textId="4B8292CE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C650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</w:t>
            </w:r>
            <w:r w:rsidR="00C650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C650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</w:t>
            </w:r>
            <w:r w:rsidR="00C65074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1E3BE3A" w14:textId="7F7EBE17" w:rsidR="000A452F" w:rsidRPr="00595035" w:rsidRDefault="00F9507E" w:rsidP="000A452F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 </w:t>
            </w:r>
            <w:r w:rsidR="000A452F" w:rsidRPr="00AB3A4B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скитим, мр.Подгорный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</w:t>
            </w:r>
            <w:proofErr w:type="gramStart"/>
            <w:r w:rsidRPr="00AB3A4B">
              <w:rPr>
                <w:i/>
                <w:iCs/>
              </w:rPr>
              <w:t>место нахождение</w:t>
            </w:r>
            <w:proofErr w:type="gramEnd"/>
            <w:r w:rsidRPr="00AB3A4B">
              <w:rPr>
                <w:i/>
                <w:iCs/>
              </w:rPr>
              <w:t>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50AB0907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Результатом предоставления субсидии является получение победителем отбора паспорта готовности к отопительному периоду </w:t>
            </w:r>
          </w:p>
          <w:p w14:paraId="4C863679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или </w:t>
            </w:r>
          </w:p>
          <w:p w14:paraId="2614DD95" w14:textId="53E48D2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595035">
              <w:rPr>
                <w:sz w:val="24"/>
                <w:szCs w:val="24"/>
              </w:rPr>
              <w:t xml:space="preserve">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предоставленных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-ю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-п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роизводителе товаров, работ, услуг, являющихся участниками отбора;</w:t>
            </w:r>
          </w:p>
          <w:p w14:paraId="56E0A992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капитале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      </w:r>
          </w:p>
          <w:p w14:paraId="03D61804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ии ау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диторского заключения в срок до 15 июля года, в котором муниципальным унитарным предприятием планируется подача заявки на получение субсидии.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 участника отбора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 при ее протяженности более 5 км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.;   </w:t>
            </w:r>
            <w:proofErr w:type="gramEnd"/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  <w:proofErr w:type="gramEnd"/>
          </w:p>
          <w:p w14:paraId="607E7BC3" w14:textId="77777777" w:rsidR="00791D9C" w:rsidRPr="0051084E" w:rsidRDefault="00791D9C" w:rsidP="00791D9C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067BFEA8" w14:textId="3CE6EE8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водоотведения:</w:t>
            </w:r>
          </w:p>
          <w:p w14:paraId="5DE5244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заверенную копию устава предприятия;</w:t>
            </w:r>
          </w:p>
          <w:p w14:paraId="3AACDEC7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14EB5A3A" w14:textId="3DA78533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</w:t>
            </w:r>
            <w:r w:rsidR="00F02C54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</w:t>
            </w:r>
            <w:r w:rsidR="00F02C54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товарные накладные на отпуск газа на дату, предшествующую получению средств субсидии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23F1260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-справку о наличии расчетного счета в банке и отсутствии требований к нему;</w:t>
            </w:r>
          </w:p>
          <w:p w14:paraId="754DCFC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карточка счета в разрезе контрагента на 1-е число месяца, в котором планируется выдача субсидии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за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предшествующие 6 месяцев;</w:t>
            </w:r>
          </w:p>
          <w:p w14:paraId="45283C2A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3398E64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0BC83061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отчет о прибылях и убытках за предшествующий финансовый год;</w:t>
            </w:r>
          </w:p>
          <w:p w14:paraId="19F4BE40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5D335BE3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   </w:t>
            </w:r>
          </w:p>
          <w:p w14:paraId="75DA0378" w14:textId="2DB68DA1" w:rsidR="00F9507E" w:rsidRPr="0051084E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E0BA32A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 xml:space="preserve">частники отбора для получения субсидии в течение 30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Участники отбора вправе отозвать предложение (заявку) в срок не 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позднее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Искитим,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6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51DBFA99" w:rsidR="00F94DE6" w:rsidRPr="005B5AD5" w:rsidRDefault="00F94DE6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Март 202</w:t>
            </w:r>
            <w:r w:rsidR="002E4EBC"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  <w:r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8A1BFDB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73F41B6B" w14:textId="19F9602F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75C02D5D" w14:textId="0F647412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216D8638" w:rsidR="002E4EBC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E4EBC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2023 года</w:t>
            </w:r>
          </w:p>
          <w:p w14:paraId="01C2E84A" w14:textId="59D2E5B9" w:rsidR="002E4EBC" w:rsidRDefault="002E4EBC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 2023 года  - 09:00 – 10:00;</w:t>
            </w:r>
          </w:p>
          <w:p w14:paraId="0AC3DD13" w14:textId="57AD9DEB" w:rsidR="00CC7CFD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C7CFD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2023 года</w:t>
            </w:r>
          </w:p>
          <w:p w14:paraId="3A9031AA" w14:textId="29688E2F" w:rsidR="00CC7CFD" w:rsidRPr="00CC7CFD" w:rsidRDefault="00CC7CFD" w:rsidP="002E4EBC">
            <w:pPr>
              <w:jc w:val="center"/>
              <w:rPr>
                <w:sz w:val="24"/>
                <w:szCs w:val="24"/>
              </w:rPr>
            </w:pPr>
            <w:r w:rsidRPr="00CC7CFD">
              <w:rPr>
                <w:sz w:val="24"/>
                <w:szCs w:val="24"/>
              </w:rPr>
              <w:t>23 мая 2023 года 09:00 – 10:00;</w:t>
            </w:r>
          </w:p>
          <w:p w14:paraId="4F030D56" w14:textId="7CE1A045" w:rsidR="00CF69CB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</w:t>
            </w:r>
            <w:r w:rsidR="00CC7CFD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6B7DB15D" w:rsidR="00CF69CB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69CB">
              <w:rPr>
                <w:sz w:val="24"/>
                <w:szCs w:val="24"/>
              </w:rPr>
              <w:t xml:space="preserve"> июля 202</w:t>
            </w:r>
            <w:r>
              <w:rPr>
                <w:sz w:val="24"/>
                <w:szCs w:val="24"/>
              </w:rPr>
              <w:t>3</w:t>
            </w:r>
            <w:r w:rsidR="00CF69CB">
              <w:rPr>
                <w:sz w:val="24"/>
                <w:szCs w:val="24"/>
              </w:rPr>
              <w:t xml:space="preserve"> года  - 09:00 – 10:00;</w:t>
            </w:r>
          </w:p>
          <w:p w14:paraId="386B95D4" w14:textId="6E35FDA8" w:rsidR="00CF69CB" w:rsidRPr="005B5AD5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5B5AD5"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734D3D90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="00791D9C" w:rsidRPr="00F950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 - 09:00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3D1871B7" w14:textId="12DD201B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="00791D9C" w:rsidRPr="00F950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40D4B890" w14:textId="153B47EE" w:rsidR="00CF69CB" w:rsidRDefault="00791D9C" w:rsidP="00CC7CFD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C7CFD">
              <w:rPr>
                <w:sz w:val="24"/>
                <w:szCs w:val="24"/>
              </w:rPr>
              <w:t>7</w:t>
            </w:r>
            <w:r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Pr="00F9507E">
              <w:rPr>
                <w:sz w:val="24"/>
                <w:szCs w:val="24"/>
              </w:rPr>
              <w:t xml:space="preserve"> 202</w:t>
            </w:r>
            <w:r w:rsidR="00CC7CFD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0F815DA3" w14:textId="7E446E6D" w:rsidR="009B1E14" w:rsidRDefault="009B1E14" w:rsidP="00CC7CFD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B1E14">
              <w:rPr>
                <w:b/>
                <w:bCs/>
                <w:i/>
                <w:iCs/>
                <w:sz w:val="24"/>
                <w:szCs w:val="24"/>
                <w:u w:val="single"/>
              </w:rPr>
              <w:t>Октябрь 2023 года</w:t>
            </w:r>
          </w:p>
          <w:p w14:paraId="0B2260A2" w14:textId="5759B2DD" w:rsidR="009B1E14" w:rsidRPr="009B1E14" w:rsidRDefault="009B1E14" w:rsidP="00CC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 2023 года – 09:00 – 10:00;</w:t>
            </w:r>
          </w:p>
          <w:p w14:paraId="4CAC25A4" w14:textId="45737FB9" w:rsidR="00CF69CB" w:rsidRPr="005B5AD5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5B5AD5"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1C9E11F3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1D9C"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1DAC6548" w14:textId="44B681D0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1D9C"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79B63CA4" w14:textId="71916466" w:rsidR="00791D9C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C7CFD">
              <w:rPr>
                <w:sz w:val="24"/>
                <w:szCs w:val="24"/>
              </w:rPr>
              <w:t>8</w:t>
            </w:r>
            <w:r w:rsidRPr="00F9507E">
              <w:rPr>
                <w:sz w:val="24"/>
                <w:szCs w:val="24"/>
              </w:rPr>
              <w:t xml:space="preserve"> ноября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71A2E825" w14:textId="6DAEC0F5" w:rsidR="00C57E26" w:rsidRPr="005B5AD5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23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2AACB438" w:rsidR="00791D9C" w:rsidRPr="00F9507E" w:rsidRDefault="00C57E2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CFD">
              <w:rPr>
                <w:sz w:val="24"/>
                <w:szCs w:val="24"/>
              </w:rPr>
              <w:t>9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 w:rsidR="00CC7CFD"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689A1DB2" w14:textId="0296D8E2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7B722A8D" w14:textId="7421A5B9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6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6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орядка, осуществляет оценку заявок участников, допущенных к участию в отборе, в целях </w:t>
            </w:r>
            <w:proofErr w:type="gramStart"/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определения экономической обоснованности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lastRenderedPageBreak/>
              <w:t>дополнительного финансирования деятельности организации</w:t>
            </w:r>
            <w:proofErr w:type="gramEnd"/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 тепло-, водоснабжения, водоотведения населения г</w:t>
            </w: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скитима».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lastRenderedPageBreak/>
      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течение пяти рабочих дней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- условия о согласовании новых условий соглашения или о его расторжении при недостижении согласия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по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новым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 xml:space="preserve">словия признания победителя отбора </w:t>
            </w:r>
            <w:proofErr w:type="gramStart"/>
            <w:r w:rsidRPr="006E62B0">
              <w:rPr>
                <w:sz w:val="24"/>
                <w:szCs w:val="24"/>
              </w:rPr>
              <w:t>уклонившимся</w:t>
            </w:r>
            <w:proofErr w:type="gramEnd"/>
            <w:r w:rsidRPr="006E62B0">
              <w:rPr>
                <w:sz w:val="24"/>
                <w:szCs w:val="24"/>
              </w:rPr>
              <w:t xml:space="preserve">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Победитель отбора, не подписавший соглашение в течение пяти рабочих дней со дня уведомления о ее предоставлении, считается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proofErr w:type="gramStart"/>
      <w:r w:rsidRPr="005417DD">
        <w:rPr>
          <w:color w:val="000000"/>
          <w:sz w:val="24"/>
          <w:szCs w:val="24"/>
          <w:lang w:eastAsia="ar-SA"/>
        </w:rPr>
        <w:t>от</w:t>
      </w:r>
      <w:proofErr w:type="gramEnd"/>
      <w:r w:rsidRPr="005417DD">
        <w:rPr>
          <w:color w:val="000000"/>
          <w:sz w:val="24"/>
          <w:szCs w:val="24"/>
          <w:lang w:eastAsia="ar-SA"/>
        </w:rPr>
        <w:t>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</w:t>
      </w:r>
      <w:proofErr w:type="gramStart"/>
      <w:r w:rsidRPr="005417DD">
        <w:rPr>
          <w:color w:val="000000"/>
          <w:sz w:val="24"/>
          <w:szCs w:val="24"/>
          <w:lang w:eastAsia="ar-SA"/>
        </w:rPr>
        <w:t>наименование</w:t>
      </w:r>
      <w:proofErr w:type="gramEnd"/>
      <w:r w:rsidRPr="005417DD">
        <w:rPr>
          <w:color w:val="000000"/>
          <w:sz w:val="24"/>
          <w:szCs w:val="24"/>
          <w:lang w:eastAsia="ar-SA"/>
        </w:rPr>
        <w:t xml:space="preserve">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lastRenderedPageBreak/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1946BE"/>
    <w:rsid w:val="002036E9"/>
    <w:rsid w:val="00254D80"/>
    <w:rsid w:val="00261FB5"/>
    <w:rsid w:val="002711D4"/>
    <w:rsid w:val="002C551A"/>
    <w:rsid w:val="002E4EBC"/>
    <w:rsid w:val="00326988"/>
    <w:rsid w:val="00390A22"/>
    <w:rsid w:val="003D01D1"/>
    <w:rsid w:val="0051084E"/>
    <w:rsid w:val="005B5AD5"/>
    <w:rsid w:val="006177B1"/>
    <w:rsid w:val="00631618"/>
    <w:rsid w:val="006575F6"/>
    <w:rsid w:val="006D41AF"/>
    <w:rsid w:val="00791D9C"/>
    <w:rsid w:val="00844A11"/>
    <w:rsid w:val="008D3D17"/>
    <w:rsid w:val="00936F1F"/>
    <w:rsid w:val="00996D9A"/>
    <w:rsid w:val="009B1E14"/>
    <w:rsid w:val="00A62074"/>
    <w:rsid w:val="00A77155"/>
    <w:rsid w:val="00B16312"/>
    <w:rsid w:val="00B272DF"/>
    <w:rsid w:val="00C57B50"/>
    <w:rsid w:val="00C57E26"/>
    <w:rsid w:val="00C65074"/>
    <w:rsid w:val="00C66E2B"/>
    <w:rsid w:val="00C722E7"/>
    <w:rsid w:val="00C7256A"/>
    <w:rsid w:val="00C94357"/>
    <w:rsid w:val="00C96B0A"/>
    <w:rsid w:val="00CC7CFD"/>
    <w:rsid w:val="00CF4724"/>
    <w:rsid w:val="00CF69CB"/>
    <w:rsid w:val="00DC2350"/>
    <w:rsid w:val="00DF5397"/>
    <w:rsid w:val="00E468CF"/>
    <w:rsid w:val="00E90EF4"/>
    <w:rsid w:val="00EB40D7"/>
    <w:rsid w:val="00ED41C0"/>
    <w:rsid w:val="00F02C54"/>
    <w:rsid w:val="00F452E4"/>
    <w:rsid w:val="00F94DE6"/>
    <w:rsid w:val="00F9507E"/>
    <w:rsid w:val="00FA0A7C"/>
    <w:rsid w:val="00FA1A5F"/>
    <w:rsid w:val="00FB1E0E"/>
    <w:rsid w:val="00FB44BD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kh-iskit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A098-55DF-40B0-8016-48067A4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cp:lastPrinted>2022-02-15T03:23:00Z</cp:lastPrinted>
  <dcterms:created xsi:type="dcterms:W3CDTF">2023-09-20T08:00:00Z</dcterms:created>
  <dcterms:modified xsi:type="dcterms:W3CDTF">2023-09-20T08:00:00Z</dcterms:modified>
</cp:coreProperties>
</file>